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0CF82" w14:textId="77777777" w:rsidR="00AA1C47" w:rsidRPr="0068638F" w:rsidRDefault="00AA1C47" w:rsidP="00AA1C47">
      <w:pPr>
        <w:spacing w:after="160" w:line="278" w:lineRule="auto"/>
        <w:ind w:left="0" w:right="0" w:firstLine="0"/>
        <w:jc w:val="center"/>
        <w:rPr>
          <w:rFonts w:ascii="Futura" w:eastAsia="Aptos" w:hAnsi="Futura" w:cs="Futura"/>
          <w:b/>
          <w:bCs/>
          <w:color w:val="auto"/>
          <w:kern w:val="2"/>
          <w:sz w:val="24"/>
          <w:szCs w:val="24"/>
          <w:u w:val="single"/>
          <w:lang w:val="en-US"/>
          <w14:ligatures w14:val="standardContextual"/>
        </w:rPr>
      </w:pPr>
      <w:r w:rsidRPr="0068638F">
        <w:rPr>
          <w:rFonts w:ascii="Futura" w:eastAsia="Aptos" w:hAnsi="Futura" w:cs="Futura"/>
          <w:b/>
          <w:bCs/>
          <w:color w:val="auto"/>
          <w:kern w:val="2"/>
          <w:sz w:val="24"/>
          <w:szCs w:val="24"/>
          <w:u w:val="single"/>
          <w:lang w:val="en-US"/>
          <w14:ligatures w14:val="standardContextual"/>
        </w:rPr>
        <w:t>SCHEDULE 8</w:t>
      </w:r>
    </w:p>
    <w:p w14:paraId="4C959F4B" w14:textId="77777777" w:rsidR="00AA1C47" w:rsidRPr="0068638F" w:rsidRDefault="00AA1C47" w:rsidP="00AA1C47">
      <w:pPr>
        <w:spacing w:after="160" w:line="278" w:lineRule="auto"/>
        <w:ind w:left="0" w:right="0" w:firstLine="0"/>
        <w:jc w:val="center"/>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METHODOLOGY FOR DETERMINATION OF NETWORK ASSET USE FEE, COST OF ENERGY, AND DEFAULT EXPORT SETTLEMENT FOR INTERCONNECTED MINI-GRIDS</w:t>
      </w:r>
    </w:p>
    <w:p w14:paraId="230CDDC2"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1.</w:t>
      </w:r>
      <w:r w:rsidRPr="0068638F">
        <w:rPr>
          <w:rFonts w:ascii="Futura" w:eastAsia="Aptos" w:hAnsi="Futura" w:cs="Futura"/>
          <w:b/>
          <w:bCs/>
          <w:color w:val="auto"/>
          <w:kern w:val="2"/>
          <w:sz w:val="24"/>
          <w:szCs w:val="24"/>
          <w:lang w:val="en-US"/>
          <w14:ligatures w14:val="standardContextual"/>
        </w:rPr>
        <w:tab/>
        <w:t>Objective and Application</w:t>
      </w:r>
    </w:p>
    <w:p w14:paraId="3FA42954"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1.1</w:t>
      </w:r>
      <w:r w:rsidRPr="0068638F">
        <w:rPr>
          <w:rFonts w:ascii="Futura" w:eastAsia="Aptos" w:hAnsi="Futura" w:cs="Futura"/>
          <w:color w:val="auto"/>
          <w:kern w:val="2"/>
          <w:sz w:val="24"/>
          <w:szCs w:val="24"/>
          <w:lang w:val="en-US"/>
          <w14:ligatures w14:val="standardContextual"/>
        </w:rPr>
        <w:tab/>
        <w:t>This Schedule prescribes the default methodology for determining the commercial charges applicable to an Interconnected Mini-Grid in respect of;</w:t>
      </w:r>
    </w:p>
    <w:p w14:paraId="17D24ACB" w14:textId="77777777" w:rsidR="00AA1C47" w:rsidRPr="0068638F" w:rsidRDefault="00AA1C47">
      <w:pPr>
        <w:numPr>
          <w:ilvl w:val="0"/>
          <w:numId w:val="6"/>
        </w:numPr>
        <w:spacing w:after="160" w:line="278" w:lineRule="auto"/>
        <w:ind w:left="1080" w:right="0"/>
        <w:contextualSpacing/>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the takeover, use, operation, and continued availability of Distribution Licensee network assets within the designated Interconnected Mini-Grid area;</w:t>
      </w:r>
    </w:p>
    <w:p w14:paraId="798C07F6"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0C1A6DBE" w14:textId="77777777" w:rsidR="00AA1C47" w:rsidRPr="0068638F" w:rsidRDefault="00AA1C47">
      <w:pPr>
        <w:numPr>
          <w:ilvl w:val="0"/>
          <w:numId w:val="6"/>
        </w:numPr>
        <w:spacing w:after="160" w:line="278" w:lineRule="auto"/>
        <w:ind w:left="1080" w:right="0"/>
        <w:contextualSpacing/>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the supply of electrical energy by the Distribution Licensee to the Interconnected Mini-Grid at the Point of Common Coupling; and</w:t>
      </w:r>
    </w:p>
    <w:p w14:paraId="6CF0D1C9"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6DACFBF6" w14:textId="77777777" w:rsidR="00AA1C47" w:rsidRPr="0068638F" w:rsidRDefault="00AA1C47">
      <w:pPr>
        <w:numPr>
          <w:ilvl w:val="0"/>
          <w:numId w:val="6"/>
        </w:numPr>
        <w:spacing w:after="160" w:line="278" w:lineRule="auto"/>
        <w:ind w:left="1080" w:right="0"/>
        <w:contextualSpacing/>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the default settlement of electricity exported by an Interconnected Mini-Grid to the Distribution Licensee, where bidirectional flow has been technically approved, and the parties have not concluded a Commission-filed or Commission-approved export power purchase arrangement.</w:t>
      </w:r>
    </w:p>
    <w:p w14:paraId="204AF498"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7696382B"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1.2</w:t>
      </w:r>
      <w:r w:rsidRPr="0068638F">
        <w:rPr>
          <w:rFonts w:ascii="Futura" w:eastAsia="Aptos" w:hAnsi="Futura" w:cs="Futura"/>
          <w:color w:val="auto"/>
          <w:kern w:val="2"/>
          <w:sz w:val="24"/>
          <w:szCs w:val="24"/>
          <w:lang w:val="en-US"/>
          <w14:ligatures w14:val="standardContextual"/>
        </w:rPr>
        <w:tab/>
        <w:t>This Schedule shall apply to every IMG arrangement unless otherwise approved or directed by the Commission.</w:t>
      </w:r>
    </w:p>
    <w:p w14:paraId="7BF5B85D"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1.3</w:t>
      </w:r>
      <w:r w:rsidRPr="0068638F">
        <w:rPr>
          <w:rFonts w:ascii="Futura" w:eastAsia="Aptos" w:hAnsi="Futura" w:cs="Futura"/>
          <w:color w:val="auto"/>
          <w:kern w:val="2"/>
          <w:sz w:val="24"/>
          <w:szCs w:val="24"/>
          <w:lang w:val="en-US"/>
          <w14:ligatures w14:val="standardContextual"/>
        </w:rPr>
        <w:tab/>
        <w:t>This Schedule shall be read together with the Mini Grid Regulations 2026, the applicable tariff order, the Tripartite Agreement in Schedule 10, the Interconnection Agreement, the Metering Code, the Distribution Code, and such other instruments as may be issued or approved by the Commission from time to time.</w:t>
      </w:r>
    </w:p>
    <w:p w14:paraId="1CAEB39C"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1.4</w:t>
      </w:r>
      <w:r w:rsidRPr="0068638F">
        <w:rPr>
          <w:rFonts w:ascii="Futura" w:eastAsia="Aptos" w:hAnsi="Futura" w:cs="Futura"/>
          <w:color w:val="auto"/>
          <w:kern w:val="2"/>
          <w:sz w:val="24"/>
          <w:szCs w:val="24"/>
          <w:lang w:val="en-US"/>
          <w14:ligatures w14:val="standardContextual"/>
        </w:rPr>
        <w:tab/>
        <w:t>This Schedule governs commercial methodology only and does not, by itself, determine tenure, early termination compensation, asset hand-over, or transition rights, which shall be governed by the Mini Grid Regulations 2026 and the applicable Tripartite Agreement in Schedule 10.</w:t>
      </w:r>
    </w:p>
    <w:p w14:paraId="752D29D5"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2.</w:t>
      </w:r>
      <w:r w:rsidRPr="0068638F">
        <w:rPr>
          <w:rFonts w:ascii="Futura" w:eastAsia="Aptos" w:hAnsi="Futura" w:cs="Futura"/>
          <w:b/>
          <w:bCs/>
          <w:color w:val="auto"/>
          <w:kern w:val="2"/>
          <w:sz w:val="24"/>
          <w:szCs w:val="24"/>
          <w:lang w:val="en-US"/>
          <w14:ligatures w14:val="standardContextual"/>
        </w:rPr>
        <w:tab/>
        <w:t>Interpretation</w:t>
      </w:r>
    </w:p>
    <w:p w14:paraId="60AAB921" w14:textId="77777777" w:rsidR="00AA1C47" w:rsidRPr="0068638F" w:rsidRDefault="00AA1C47" w:rsidP="00AA1C47">
      <w:pPr>
        <w:spacing w:after="160" w:line="278" w:lineRule="auto"/>
        <w:ind w:left="0" w:right="0" w:firstLine="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In this Schedule, unless the context otherwise requires;</w:t>
      </w:r>
    </w:p>
    <w:p w14:paraId="108CFE6F"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lastRenderedPageBreak/>
        <w:t xml:space="preserve">“Applicable </w:t>
      </w:r>
      <w:proofErr w:type="spellStart"/>
      <w:r w:rsidRPr="0068638F">
        <w:rPr>
          <w:rFonts w:ascii="Futura" w:eastAsia="Aptos" w:hAnsi="Futura" w:cs="Futura"/>
          <w:color w:val="auto"/>
          <w:kern w:val="2"/>
          <w:sz w:val="24"/>
          <w:szCs w:val="24"/>
          <w:lang w:val="en-US"/>
          <w14:ligatures w14:val="standardContextual"/>
        </w:rPr>
        <w:t>CoE</w:t>
      </w:r>
      <w:proofErr w:type="spellEnd"/>
      <w:r w:rsidRPr="0068638F">
        <w:rPr>
          <w:rFonts w:ascii="Futura" w:eastAsia="Aptos" w:hAnsi="Futura" w:cs="Futura"/>
          <w:color w:val="auto"/>
          <w:kern w:val="2"/>
          <w:sz w:val="24"/>
          <w:szCs w:val="24"/>
          <w:lang w:val="en-US"/>
          <w14:ligatures w14:val="standardContextual"/>
        </w:rPr>
        <w:t>” means the Cost of Energy applicable in the relevant billing month and determined in accordance with Clause 5 of this Schedule;</w:t>
      </w:r>
    </w:p>
    <w:p w14:paraId="0C099AD4"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“Applicable Tariff Order” means the Commission-approved tariff order, or other Commission-approved tariff instrument, in force for the relevant billing month;</w:t>
      </w:r>
    </w:p>
    <w:p w14:paraId="67857AD3"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w:t>
      </w:r>
      <w:proofErr w:type="spellStart"/>
      <w:r w:rsidRPr="0068638F">
        <w:rPr>
          <w:rFonts w:ascii="Futura" w:eastAsia="Aptos" w:hAnsi="Futura" w:cs="Futura"/>
          <w:color w:val="auto"/>
          <w:kern w:val="2"/>
          <w:sz w:val="24"/>
          <w:szCs w:val="24"/>
          <w:lang w:val="en-US"/>
          <w14:ligatures w14:val="standardContextual"/>
        </w:rPr>
        <w:t>CoE</w:t>
      </w:r>
      <w:proofErr w:type="spellEnd"/>
      <w:r w:rsidRPr="0068638F">
        <w:rPr>
          <w:rFonts w:ascii="Futura" w:eastAsia="Aptos" w:hAnsi="Futura" w:cs="Futura"/>
          <w:color w:val="auto"/>
          <w:kern w:val="2"/>
          <w:sz w:val="24"/>
          <w:szCs w:val="24"/>
          <w:lang w:val="en-US"/>
          <w14:ligatures w14:val="standardContextual"/>
        </w:rPr>
        <w:t>” means the Cost of Energy payable by an Interconnected Mini-Grid Operator for electrical energy delivered by the Distribution Licensee at the Point of Common Coupling;</w:t>
      </w:r>
    </w:p>
    <w:p w14:paraId="06C5D942"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“Debt Recovery Agreement” or “DRA” means an agreement between an Interconnected Mini-Grid Operator and a Distribution Licensee, approved by the Commission, for the recovery of verified outstanding customer debt existing prior to the takeover of Distribution Licensee assets by the Interconnected Mini-Grid Operator;</w:t>
      </w:r>
    </w:p>
    <w:p w14:paraId="6F2C5BF7"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“Default Export Rate” means the Commission-approved default export tariff, proxy value, reference rate, or other export settlement rate applicable under paragraph 7 of this Schedule;</w:t>
      </w:r>
    </w:p>
    <w:p w14:paraId="13D10C44"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“DRO” means the Distribution Remittance Obligation or such other Commission-approved upstream energy cost allocation factor as may be applicable under the prevailing tariff methodology;</w:t>
      </w:r>
    </w:p>
    <w:p w14:paraId="55D05828"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 xml:space="preserve">“GC” means the applicable wholesale generation cost </w:t>
      </w:r>
      <w:proofErr w:type="spellStart"/>
      <w:r w:rsidRPr="0068638F">
        <w:rPr>
          <w:rFonts w:ascii="Futura" w:eastAsia="Aptos" w:hAnsi="Futura" w:cs="Futura"/>
          <w:color w:val="auto"/>
          <w:kern w:val="2"/>
          <w:sz w:val="24"/>
          <w:szCs w:val="24"/>
          <w:lang w:val="en-US"/>
          <w14:ligatures w14:val="standardContextual"/>
        </w:rPr>
        <w:t>recognised</w:t>
      </w:r>
      <w:proofErr w:type="spellEnd"/>
      <w:r w:rsidRPr="0068638F">
        <w:rPr>
          <w:rFonts w:ascii="Futura" w:eastAsia="Aptos" w:hAnsi="Futura" w:cs="Futura"/>
          <w:color w:val="auto"/>
          <w:kern w:val="2"/>
          <w:sz w:val="24"/>
          <w:szCs w:val="24"/>
          <w:lang w:val="en-US"/>
          <w14:ligatures w14:val="standardContextual"/>
        </w:rPr>
        <w:t xml:space="preserve"> in the Applicable Tariff Order;</w:t>
      </w:r>
    </w:p>
    <w:p w14:paraId="34D2CD00"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“IMG” means an Interconnected Mini-Grid approved under the Mini Grid Regulations 2026;</w:t>
      </w:r>
    </w:p>
    <w:p w14:paraId="160F4402"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“IMG Operator” means the holder of an Interconnected Mini-Grid permit or other Commission-approved authority to operate an Interconnected Mini-Grid under the Mini Grid Regulations 2026;</w:t>
      </w:r>
    </w:p>
    <w:p w14:paraId="62B0AD62"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 xml:space="preserve">“Monthly ROI” means the monthly return on capital </w:t>
      </w:r>
      <w:proofErr w:type="spellStart"/>
      <w:r w:rsidRPr="0068638F">
        <w:rPr>
          <w:rFonts w:ascii="Futura" w:eastAsia="Aptos" w:hAnsi="Futura" w:cs="Futura"/>
          <w:color w:val="auto"/>
          <w:kern w:val="2"/>
          <w:sz w:val="24"/>
          <w:szCs w:val="24"/>
          <w:lang w:val="en-US"/>
          <w14:ligatures w14:val="standardContextual"/>
        </w:rPr>
        <w:t>recognised</w:t>
      </w:r>
      <w:proofErr w:type="spellEnd"/>
      <w:r w:rsidRPr="0068638F">
        <w:rPr>
          <w:rFonts w:ascii="Futura" w:eastAsia="Aptos" w:hAnsi="Futura" w:cs="Futura"/>
          <w:color w:val="auto"/>
          <w:kern w:val="2"/>
          <w:sz w:val="24"/>
          <w:szCs w:val="24"/>
          <w:lang w:val="en-US"/>
          <w14:ligatures w14:val="standardContextual"/>
        </w:rPr>
        <w:t xml:space="preserve"> in the Applicable Tariff Order for the Distribution Licensee, excluding any working capital component unless otherwise approved by the Commission;</w:t>
      </w:r>
    </w:p>
    <w:p w14:paraId="2EF86C55"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 xml:space="preserve">“Monthly </w:t>
      </w:r>
      <w:proofErr w:type="spellStart"/>
      <w:r w:rsidRPr="0068638F">
        <w:rPr>
          <w:rFonts w:ascii="Futura" w:eastAsia="Aptos" w:hAnsi="Futura" w:cs="Futura"/>
          <w:color w:val="auto"/>
          <w:kern w:val="2"/>
          <w:sz w:val="24"/>
          <w:szCs w:val="24"/>
          <w:lang w:val="en-US"/>
          <w14:ligatures w14:val="standardContextual"/>
        </w:rPr>
        <w:t>ROIdep</w:t>
      </w:r>
      <w:proofErr w:type="spellEnd"/>
      <w:r w:rsidRPr="0068638F">
        <w:rPr>
          <w:rFonts w:ascii="Futura" w:eastAsia="Aptos" w:hAnsi="Futura" w:cs="Futura"/>
          <w:color w:val="auto"/>
          <w:kern w:val="2"/>
          <w:sz w:val="24"/>
          <w:szCs w:val="24"/>
          <w:lang w:val="en-US"/>
          <w14:ligatures w14:val="standardContextual"/>
        </w:rPr>
        <w:t xml:space="preserve">” means the monthly depreciation amount </w:t>
      </w:r>
      <w:proofErr w:type="spellStart"/>
      <w:r w:rsidRPr="0068638F">
        <w:rPr>
          <w:rFonts w:ascii="Futura" w:eastAsia="Aptos" w:hAnsi="Futura" w:cs="Futura"/>
          <w:color w:val="auto"/>
          <w:kern w:val="2"/>
          <w:sz w:val="24"/>
          <w:szCs w:val="24"/>
          <w:lang w:val="en-US"/>
          <w14:ligatures w14:val="standardContextual"/>
        </w:rPr>
        <w:t>recognised</w:t>
      </w:r>
      <w:proofErr w:type="spellEnd"/>
      <w:r w:rsidRPr="0068638F">
        <w:rPr>
          <w:rFonts w:ascii="Futura" w:eastAsia="Aptos" w:hAnsi="Futura" w:cs="Futura"/>
          <w:color w:val="auto"/>
          <w:kern w:val="2"/>
          <w:sz w:val="24"/>
          <w:szCs w:val="24"/>
          <w:lang w:val="en-US"/>
          <w14:ligatures w14:val="standardContextual"/>
        </w:rPr>
        <w:t xml:space="preserve"> in the Applicable Tariff Order for the Distribution Licensee;</w:t>
      </w:r>
    </w:p>
    <w:p w14:paraId="0B60C9A8"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lastRenderedPageBreak/>
        <w:t>“NAUF” means the Network Asset Use Fee payable by an IMG Operator to the Distribution Licensee for the takeover and use of the Distribution Licensee’s network assets within the designated Interconnected Mini-Grid area;</w:t>
      </w:r>
    </w:p>
    <w:p w14:paraId="1B24DE2B"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 xml:space="preserve">“OP” means the approved operating expenditure </w:t>
      </w:r>
      <w:proofErr w:type="spellStart"/>
      <w:r w:rsidRPr="0068638F">
        <w:rPr>
          <w:rFonts w:ascii="Futura" w:eastAsia="Aptos" w:hAnsi="Futura" w:cs="Futura"/>
          <w:color w:val="auto"/>
          <w:kern w:val="2"/>
          <w:sz w:val="24"/>
          <w:szCs w:val="24"/>
          <w:lang w:val="en-US"/>
          <w14:ligatures w14:val="standardContextual"/>
        </w:rPr>
        <w:t>recognised</w:t>
      </w:r>
      <w:proofErr w:type="spellEnd"/>
      <w:r w:rsidRPr="0068638F">
        <w:rPr>
          <w:rFonts w:ascii="Futura" w:eastAsia="Aptos" w:hAnsi="Futura" w:cs="Futura"/>
          <w:color w:val="auto"/>
          <w:kern w:val="2"/>
          <w:sz w:val="24"/>
          <w:szCs w:val="24"/>
          <w:lang w:val="en-US"/>
          <w14:ligatures w14:val="standardContextual"/>
        </w:rPr>
        <w:t xml:space="preserve"> in the Applicable Tariff Order;</w:t>
      </w:r>
    </w:p>
    <w:p w14:paraId="706BCA92"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“PCC” means the Point of Common Coupling between the Distribution Licensee’s network and the Interconnected Mini-Grid;</w:t>
      </w:r>
    </w:p>
    <w:p w14:paraId="724730A8"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 xml:space="preserve">“RAB” means the Regulated Asset Base of the Distribution Licensee as </w:t>
      </w:r>
      <w:proofErr w:type="spellStart"/>
      <w:r w:rsidRPr="0068638F">
        <w:rPr>
          <w:rFonts w:ascii="Futura" w:eastAsia="Aptos" w:hAnsi="Futura" w:cs="Futura"/>
          <w:color w:val="auto"/>
          <w:kern w:val="2"/>
          <w:sz w:val="24"/>
          <w:szCs w:val="24"/>
          <w:lang w:val="en-US"/>
          <w14:ligatures w14:val="standardContextual"/>
        </w:rPr>
        <w:t>recognised</w:t>
      </w:r>
      <w:proofErr w:type="spellEnd"/>
      <w:r w:rsidRPr="0068638F">
        <w:rPr>
          <w:rFonts w:ascii="Futura" w:eastAsia="Aptos" w:hAnsi="Futura" w:cs="Futura"/>
          <w:color w:val="auto"/>
          <w:kern w:val="2"/>
          <w:sz w:val="24"/>
          <w:szCs w:val="24"/>
          <w:lang w:val="en-US"/>
          <w14:ligatures w14:val="standardContextual"/>
        </w:rPr>
        <w:t xml:space="preserve"> for tariff purposes by the Commission;</w:t>
      </w:r>
    </w:p>
    <w:p w14:paraId="30229358"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 xml:space="preserve">“RI” means Commission-approved regulatory interventions, provisions, market support amounts, and other energy-related pass-throughs </w:t>
      </w:r>
      <w:proofErr w:type="spellStart"/>
      <w:r w:rsidRPr="0068638F">
        <w:rPr>
          <w:rFonts w:ascii="Futura" w:eastAsia="Aptos" w:hAnsi="Futura" w:cs="Futura"/>
          <w:color w:val="auto"/>
          <w:kern w:val="2"/>
          <w:sz w:val="24"/>
          <w:szCs w:val="24"/>
          <w:lang w:val="en-US"/>
          <w14:ligatures w14:val="standardContextual"/>
        </w:rPr>
        <w:t>recognised</w:t>
      </w:r>
      <w:proofErr w:type="spellEnd"/>
      <w:r w:rsidRPr="0068638F">
        <w:rPr>
          <w:rFonts w:ascii="Futura" w:eastAsia="Aptos" w:hAnsi="Futura" w:cs="Futura"/>
          <w:color w:val="auto"/>
          <w:kern w:val="2"/>
          <w:sz w:val="24"/>
          <w:szCs w:val="24"/>
          <w:lang w:val="en-US"/>
          <w14:ligatures w14:val="standardContextual"/>
        </w:rPr>
        <w:t xml:space="preserve"> in the Applicable Tariff Order;</w:t>
      </w:r>
    </w:p>
    <w:p w14:paraId="397B699E"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 xml:space="preserve">“RL” means the approved regulated technical loss factor, expressed as a decimal fraction, applicable to energy conveyed through the dedicated network segment supplying the IMG from the relevant injection point up to the </w:t>
      </w:r>
      <w:proofErr w:type="gramStart"/>
      <w:r w:rsidRPr="0068638F">
        <w:rPr>
          <w:rFonts w:ascii="Futura" w:eastAsia="Aptos" w:hAnsi="Futura" w:cs="Futura"/>
          <w:color w:val="auto"/>
          <w:kern w:val="2"/>
          <w:sz w:val="24"/>
          <w:szCs w:val="24"/>
          <w:lang w:val="en-US"/>
          <w14:ligatures w14:val="standardContextual"/>
        </w:rPr>
        <w:t>PCC;.</w:t>
      </w:r>
      <w:proofErr w:type="gramEnd"/>
    </w:p>
    <w:p w14:paraId="4E8F9349" w14:textId="77777777" w:rsidR="00AA1C47" w:rsidRPr="0068638F" w:rsidRDefault="00AA1C47" w:rsidP="00AA1C47">
      <w:pPr>
        <w:spacing w:after="160" w:line="278" w:lineRule="auto"/>
        <w:ind w:left="0" w:right="0" w:firstLine="0"/>
        <w:rPr>
          <w:rFonts w:ascii="Futura" w:eastAsia="Aptos" w:hAnsi="Futura" w:cs="Futura"/>
          <w:color w:val="auto"/>
          <w:kern w:val="2"/>
          <w:sz w:val="24"/>
          <w:szCs w:val="24"/>
          <w:lang w:val="en-US"/>
          <w14:ligatures w14:val="standardContextual"/>
        </w:rPr>
      </w:pPr>
    </w:p>
    <w:p w14:paraId="75123CE5"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3.</w:t>
      </w:r>
      <w:r w:rsidRPr="0068638F">
        <w:rPr>
          <w:rFonts w:ascii="Futura" w:eastAsia="Aptos" w:hAnsi="Futura" w:cs="Futura"/>
          <w:b/>
          <w:bCs/>
          <w:color w:val="auto"/>
          <w:kern w:val="2"/>
          <w:sz w:val="24"/>
          <w:szCs w:val="24"/>
          <w:lang w:val="en-US"/>
          <w14:ligatures w14:val="standardContextual"/>
        </w:rPr>
        <w:tab/>
        <w:t>Commercial Structure</w:t>
      </w:r>
    </w:p>
    <w:p w14:paraId="57B7142D"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3.1</w:t>
      </w:r>
      <w:r w:rsidRPr="0068638F">
        <w:rPr>
          <w:rFonts w:ascii="Futura" w:eastAsia="Aptos" w:hAnsi="Futura" w:cs="Futura"/>
          <w:color w:val="auto"/>
          <w:kern w:val="2"/>
          <w:sz w:val="24"/>
          <w:szCs w:val="24"/>
          <w:lang w:val="en-US"/>
          <w14:ligatures w14:val="standardContextual"/>
        </w:rPr>
        <w:tab/>
        <w:t>The default commercial structure for an Interconnected Mini-Grid shall comprise;</w:t>
      </w:r>
    </w:p>
    <w:p w14:paraId="258DED46" w14:textId="77777777" w:rsidR="00AA1C47" w:rsidRPr="0068638F" w:rsidRDefault="00AA1C47">
      <w:pPr>
        <w:numPr>
          <w:ilvl w:val="0"/>
          <w:numId w:val="7"/>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a fixed charge, being the Network Asset Use Fee;</w:t>
      </w:r>
    </w:p>
    <w:p w14:paraId="50D4519F" w14:textId="77777777" w:rsidR="00AA1C47" w:rsidRPr="0068638F" w:rsidRDefault="00AA1C47">
      <w:pPr>
        <w:numPr>
          <w:ilvl w:val="0"/>
          <w:numId w:val="7"/>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a variable charge, being the Cost of Energy, where the Distribution Licensee supplies electrical energy to the IMG at the PCC; and</w:t>
      </w:r>
    </w:p>
    <w:p w14:paraId="7C4C2DA1"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117F76C6" w14:textId="77777777" w:rsidR="00AA1C47" w:rsidRPr="0068638F" w:rsidRDefault="00AA1C47">
      <w:pPr>
        <w:numPr>
          <w:ilvl w:val="0"/>
          <w:numId w:val="7"/>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where applicable, export settlement in accordance with paragraph 6 or paragraph 7 of this Schedule.</w:t>
      </w:r>
    </w:p>
    <w:p w14:paraId="61FC3204"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2317A41D"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3.2</w:t>
      </w:r>
      <w:r w:rsidRPr="0068638F">
        <w:rPr>
          <w:rFonts w:ascii="Futura" w:eastAsia="Aptos" w:hAnsi="Futura" w:cs="Futura"/>
          <w:color w:val="auto"/>
          <w:kern w:val="2"/>
          <w:sz w:val="24"/>
          <w:szCs w:val="24"/>
          <w:lang w:val="en-US"/>
          <w14:ligatures w14:val="standardContextual"/>
        </w:rPr>
        <w:tab/>
        <w:t>The NAUF shall be payable irrespective of the volume of energy imported by the IMG, except where otherwise approved or directed by the Commission.</w:t>
      </w:r>
    </w:p>
    <w:p w14:paraId="5CFFAC26"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3.3</w:t>
      </w:r>
      <w:r w:rsidRPr="0068638F">
        <w:rPr>
          <w:rFonts w:ascii="Futura" w:eastAsia="Aptos" w:hAnsi="Futura" w:cs="Futura"/>
          <w:color w:val="auto"/>
          <w:kern w:val="2"/>
          <w:sz w:val="24"/>
          <w:szCs w:val="24"/>
          <w:lang w:val="en-US"/>
          <w14:ligatures w14:val="standardContextual"/>
        </w:rPr>
        <w:tab/>
        <w:t xml:space="preserve">The </w:t>
      </w:r>
      <w:proofErr w:type="spellStart"/>
      <w:r w:rsidRPr="0068638F">
        <w:rPr>
          <w:rFonts w:ascii="Futura" w:eastAsia="Aptos" w:hAnsi="Futura" w:cs="Futura"/>
          <w:color w:val="auto"/>
          <w:kern w:val="2"/>
          <w:sz w:val="24"/>
          <w:szCs w:val="24"/>
          <w:lang w:val="en-US"/>
          <w14:ligatures w14:val="standardContextual"/>
        </w:rPr>
        <w:t>CoE</w:t>
      </w:r>
      <w:proofErr w:type="spellEnd"/>
      <w:r w:rsidRPr="0068638F">
        <w:rPr>
          <w:rFonts w:ascii="Futura" w:eastAsia="Aptos" w:hAnsi="Futura" w:cs="Futura"/>
          <w:color w:val="auto"/>
          <w:kern w:val="2"/>
          <w:sz w:val="24"/>
          <w:szCs w:val="24"/>
          <w:lang w:val="en-US"/>
          <w14:ligatures w14:val="standardContextual"/>
        </w:rPr>
        <w:t xml:space="preserve"> shall be payable only in respect of actual metered electrical energy delivered by the Distribution Licensee to the IMG at the PCC.</w:t>
      </w:r>
    </w:p>
    <w:p w14:paraId="577C0FCF"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lastRenderedPageBreak/>
        <w:t>3.4</w:t>
      </w:r>
      <w:r w:rsidRPr="0068638F">
        <w:rPr>
          <w:rFonts w:ascii="Futura" w:eastAsia="Aptos" w:hAnsi="Futura" w:cs="Futura"/>
          <w:color w:val="auto"/>
          <w:kern w:val="2"/>
          <w:sz w:val="24"/>
          <w:szCs w:val="24"/>
          <w:lang w:val="en-US"/>
          <w14:ligatures w14:val="standardContextual"/>
        </w:rPr>
        <w:tab/>
        <w:t>The NAUF shall constitute the sole default charge payable by the IMG Operator for the takeover and use of Distribution Licensee network assets within the designated IMG area, and no separate usage fee, asset use fee, distribution use of system charge, or equivalent network-use charge shall be imposed in respect of the same assets and services except as expressly approved by the Commission.</w:t>
      </w:r>
    </w:p>
    <w:p w14:paraId="4D776884"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3.5</w:t>
      </w:r>
      <w:r w:rsidRPr="0068638F">
        <w:rPr>
          <w:rFonts w:ascii="Futura" w:eastAsia="Aptos" w:hAnsi="Futura" w:cs="Futura"/>
          <w:color w:val="auto"/>
          <w:kern w:val="2"/>
          <w:sz w:val="24"/>
          <w:szCs w:val="24"/>
          <w:lang w:val="en-US"/>
          <w14:ligatures w14:val="standardContextual"/>
        </w:rPr>
        <w:tab/>
        <w:t>Export payments or credits shall not be set off against the NAUF except where expressly approved by the Commission or provided in a Commission-filed or Commission-approved agreement.</w:t>
      </w:r>
    </w:p>
    <w:p w14:paraId="78F17481"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4.</w:t>
      </w:r>
      <w:r w:rsidRPr="0068638F">
        <w:rPr>
          <w:rFonts w:ascii="Futura" w:eastAsia="Aptos" w:hAnsi="Futura" w:cs="Futura"/>
          <w:b/>
          <w:bCs/>
          <w:color w:val="auto"/>
          <w:kern w:val="2"/>
          <w:sz w:val="24"/>
          <w:szCs w:val="24"/>
          <w:lang w:val="en-US"/>
          <w14:ligatures w14:val="standardContextual"/>
        </w:rPr>
        <w:tab/>
        <w:t>Determination of Network Asset Use Fee</w:t>
      </w:r>
    </w:p>
    <w:p w14:paraId="620F6FEC"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4.1</w:t>
      </w:r>
      <w:r w:rsidRPr="0068638F">
        <w:rPr>
          <w:rFonts w:ascii="Futura" w:eastAsia="Aptos" w:hAnsi="Futura" w:cs="Futura"/>
          <w:color w:val="auto"/>
          <w:kern w:val="2"/>
          <w:sz w:val="24"/>
          <w:szCs w:val="24"/>
          <w:lang w:val="en-US"/>
          <w14:ligatures w14:val="standardContextual"/>
        </w:rPr>
        <w:tab/>
        <w:t>The NAUF shall be determined to allow the Distribution Licensee to recover;</w:t>
      </w:r>
    </w:p>
    <w:p w14:paraId="0545A2B4" w14:textId="77777777" w:rsidR="00AA1C47" w:rsidRPr="0068638F" w:rsidRDefault="00AA1C47">
      <w:pPr>
        <w:numPr>
          <w:ilvl w:val="0"/>
          <w:numId w:val="8"/>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depreciation on the relevant Distribution Licensee network assets within the designated IMG area; and</w:t>
      </w:r>
    </w:p>
    <w:p w14:paraId="5B7F916E"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47FB1216" w14:textId="77777777" w:rsidR="00AA1C47" w:rsidRPr="0068638F" w:rsidRDefault="00AA1C47">
      <w:pPr>
        <w:numPr>
          <w:ilvl w:val="0"/>
          <w:numId w:val="8"/>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a return on the undepreciated value of those assets,</w:t>
      </w:r>
    </w:p>
    <w:p w14:paraId="05F1A9C4" w14:textId="77777777" w:rsidR="00AA1C47" w:rsidRPr="0068638F" w:rsidRDefault="00AA1C47" w:rsidP="00AA1C47">
      <w:pPr>
        <w:spacing w:after="160" w:line="278" w:lineRule="auto"/>
        <w:ind w:left="0" w:right="0" w:firstLine="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 xml:space="preserve">as </w:t>
      </w:r>
      <w:proofErr w:type="spellStart"/>
      <w:r w:rsidRPr="0068638F">
        <w:rPr>
          <w:rFonts w:ascii="Futura" w:eastAsia="Aptos" w:hAnsi="Futura" w:cs="Futura"/>
          <w:color w:val="auto"/>
          <w:kern w:val="2"/>
          <w:sz w:val="24"/>
          <w:szCs w:val="24"/>
          <w:lang w:val="en-US"/>
          <w14:ligatures w14:val="standardContextual"/>
        </w:rPr>
        <w:t>recognised</w:t>
      </w:r>
      <w:proofErr w:type="spellEnd"/>
      <w:r w:rsidRPr="0068638F">
        <w:rPr>
          <w:rFonts w:ascii="Futura" w:eastAsia="Aptos" w:hAnsi="Futura" w:cs="Futura"/>
          <w:color w:val="auto"/>
          <w:kern w:val="2"/>
          <w:sz w:val="24"/>
          <w:szCs w:val="24"/>
          <w:lang w:val="en-US"/>
          <w14:ligatures w14:val="standardContextual"/>
        </w:rPr>
        <w:t xml:space="preserve"> under the prevailing Commission-approved tariff methodology.</w:t>
      </w:r>
    </w:p>
    <w:p w14:paraId="230A7A87" w14:textId="77777777" w:rsidR="00AA1C47" w:rsidRPr="0068638F" w:rsidRDefault="00AA1C47" w:rsidP="00AA1C47">
      <w:pPr>
        <w:spacing w:after="160" w:line="278" w:lineRule="auto"/>
        <w:ind w:left="0" w:right="0" w:firstLine="0"/>
        <w:rPr>
          <w:rFonts w:ascii="Futura" w:eastAsia="Aptos" w:hAnsi="Futura" w:cs="Futura"/>
          <w:color w:val="auto"/>
          <w:kern w:val="2"/>
          <w:sz w:val="24"/>
          <w:szCs w:val="24"/>
          <w:lang w:val="en-US"/>
          <w14:ligatures w14:val="standardContextual"/>
        </w:rPr>
      </w:pPr>
    </w:p>
    <w:p w14:paraId="640B5AF7"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4.2</w:t>
      </w:r>
      <w:r w:rsidRPr="0068638F">
        <w:rPr>
          <w:rFonts w:ascii="Futura" w:eastAsia="Aptos" w:hAnsi="Futura" w:cs="Futura"/>
          <w:color w:val="auto"/>
          <w:kern w:val="2"/>
          <w:sz w:val="24"/>
          <w:szCs w:val="24"/>
          <w:lang w:val="en-US"/>
          <w14:ligatures w14:val="standardContextual"/>
        </w:rPr>
        <w:tab/>
        <w:t>The value of the relevant network assets shall be based on the net depreciated regulated asset value of such assets as reflected in the Applicable Tariff Order.</w:t>
      </w:r>
    </w:p>
    <w:p w14:paraId="22ADB257"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4.3</w:t>
      </w:r>
      <w:r w:rsidRPr="0068638F">
        <w:rPr>
          <w:rFonts w:ascii="Futura" w:eastAsia="Aptos" w:hAnsi="Futura" w:cs="Futura"/>
          <w:color w:val="auto"/>
          <w:kern w:val="2"/>
          <w:sz w:val="24"/>
          <w:szCs w:val="24"/>
          <w:lang w:val="en-US"/>
          <w14:ligatures w14:val="standardContextual"/>
        </w:rPr>
        <w:tab/>
        <w:t>Where the net depreciated regulated asset value of the relevant assets is not specified in the Applicable Tariff Order, the value of such assets shall be determined in the following order of priority—</w:t>
      </w:r>
    </w:p>
    <w:p w14:paraId="7C9F69B3" w14:textId="77777777" w:rsidR="00AA1C47" w:rsidRPr="0068638F" w:rsidRDefault="00AA1C47">
      <w:pPr>
        <w:numPr>
          <w:ilvl w:val="0"/>
          <w:numId w:val="9"/>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the indexed historic cost of the assets, net of accumulated depreciation, as reflected in the audited asset register of the Distribution Licensee;</w:t>
      </w:r>
    </w:p>
    <w:p w14:paraId="0AA6FDC7"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4362779C" w14:textId="77777777" w:rsidR="00AA1C47" w:rsidRPr="0068638F" w:rsidRDefault="00AA1C47">
      <w:pPr>
        <w:numPr>
          <w:ilvl w:val="0"/>
          <w:numId w:val="9"/>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the current replacement cost of an equivalent new asset, adjusted to reflect accumulated depreciation based on the remaining useful life of the asset; or</w:t>
      </w:r>
    </w:p>
    <w:p w14:paraId="33937DFB"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3C54C5A6" w14:textId="77777777" w:rsidR="00AA1C47" w:rsidRPr="0068638F" w:rsidRDefault="00AA1C47">
      <w:pPr>
        <w:numPr>
          <w:ilvl w:val="0"/>
          <w:numId w:val="9"/>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an independent technical and financial valuation certified by a valuer approved by the Commission.</w:t>
      </w:r>
    </w:p>
    <w:p w14:paraId="1B2F4560"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4.4</w:t>
      </w:r>
      <w:r w:rsidRPr="0068638F">
        <w:rPr>
          <w:rFonts w:ascii="Futura" w:eastAsia="Aptos" w:hAnsi="Futura" w:cs="Futura"/>
          <w:color w:val="auto"/>
          <w:kern w:val="2"/>
          <w:sz w:val="24"/>
          <w:szCs w:val="24"/>
          <w:lang w:val="en-US"/>
          <w14:ligatures w14:val="standardContextual"/>
        </w:rPr>
        <w:tab/>
        <w:t>Unless otherwise approved by the Commission, the NAUF shall be determined using the following formula;</w:t>
      </w:r>
    </w:p>
    <w:p w14:paraId="7F854611"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p>
    <w:p w14:paraId="36DE0458" w14:textId="77777777" w:rsidR="00AA1C47" w:rsidRPr="0068638F" w:rsidRDefault="00AA1C47" w:rsidP="00AA1C47">
      <w:pPr>
        <w:spacing w:after="160" w:line="278" w:lineRule="auto"/>
        <w:ind w:left="0" w:right="0" w:firstLine="72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 xml:space="preserve">NAUF = % Share of RAB × [Monthly </w:t>
      </w:r>
      <w:proofErr w:type="spellStart"/>
      <w:r w:rsidRPr="0068638F">
        <w:rPr>
          <w:rFonts w:ascii="Futura" w:eastAsia="Aptos" w:hAnsi="Futura" w:cs="Futura"/>
          <w:b/>
          <w:bCs/>
          <w:color w:val="auto"/>
          <w:kern w:val="2"/>
          <w:sz w:val="24"/>
          <w:szCs w:val="24"/>
          <w:lang w:val="en-US"/>
          <w14:ligatures w14:val="standardContextual"/>
        </w:rPr>
        <w:t>ROIdep</w:t>
      </w:r>
      <w:proofErr w:type="spellEnd"/>
      <w:r w:rsidRPr="0068638F">
        <w:rPr>
          <w:rFonts w:ascii="Futura" w:eastAsia="Aptos" w:hAnsi="Futura" w:cs="Futura"/>
          <w:b/>
          <w:bCs/>
          <w:color w:val="auto"/>
          <w:kern w:val="2"/>
          <w:sz w:val="24"/>
          <w:szCs w:val="24"/>
          <w:lang w:val="en-US"/>
          <w14:ligatures w14:val="standardContextual"/>
        </w:rPr>
        <w:t xml:space="preserve"> + (0.5 × Monthly ROI)]</w:t>
      </w:r>
    </w:p>
    <w:p w14:paraId="49EBC37E" w14:textId="77777777" w:rsidR="00AA1C47" w:rsidRPr="0068638F" w:rsidRDefault="00AA1C47" w:rsidP="00AA1C47">
      <w:pPr>
        <w:spacing w:after="160" w:line="278" w:lineRule="auto"/>
        <w:ind w:left="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4.5</w:t>
      </w:r>
      <w:r w:rsidRPr="0068638F">
        <w:rPr>
          <w:rFonts w:ascii="Futura" w:eastAsia="Aptos" w:hAnsi="Futura" w:cs="Futura"/>
          <w:color w:val="auto"/>
          <w:kern w:val="2"/>
          <w:sz w:val="24"/>
          <w:szCs w:val="24"/>
          <w:lang w:val="en-US"/>
          <w14:ligatures w14:val="standardContextual"/>
        </w:rPr>
        <w:tab/>
        <w:t>For the purposes of paragraph 4.4</w:t>
      </w:r>
    </w:p>
    <w:p w14:paraId="74B7929C" w14:textId="77777777" w:rsidR="00AA1C47" w:rsidRPr="0068638F" w:rsidRDefault="00AA1C47">
      <w:pPr>
        <w:numPr>
          <w:ilvl w:val="0"/>
          <w:numId w:val="10"/>
        </w:numPr>
        <w:spacing w:after="160" w:line="278" w:lineRule="auto"/>
        <w:ind w:left="1080" w:right="0"/>
        <w:contextualSpacing/>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 Share of RAB” means the ratio of the depreciated value of the relevant Distribution Licensee assets within the designated IMG area to the total depreciated value of the Distribution Licensee’s RAB;</w:t>
      </w:r>
    </w:p>
    <w:p w14:paraId="418062B5" w14:textId="77777777" w:rsidR="00AA1C47" w:rsidRDefault="00AA1C47" w:rsidP="003D4905">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6F21045B" w14:textId="0097A7FA" w:rsidR="003D4905" w:rsidRDefault="003D4905" w:rsidP="003D4905">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r w:rsidRPr="003D4905">
        <w:rPr>
          <w:rFonts w:ascii="Futura" w:eastAsia="Aptos" w:hAnsi="Futura" w:cs="Futura"/>
          <w:color w:val="auto"/>
          <w:kern w:val="2"/>
          <w:sz w:val="24"/>
          <w:szCs w:val="24"/>
          <w:lang w:val="en-US"/>
          <w14:ligatures w14:val="standardContextual"/>
        </w:rPr>
        <w:t>Alternatively, where it is impractical to determine the share of RAB based on the definition above, the “% Share of RAB" can be proxied by the proportion of total energy delivered to the designated Interconnected Mini-Grid area over the preceding 12 months relative to the total energy supplied to the DisCo over the same period.</w:t>
      </w:r>
    </w:p>
    <w:p w14:paraId="3B2A8F9D" w14:textId="77777777" w:rsidR="003D4905" w:rsidRPr="0068638F" w:rsidRDefault="003D4905"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7557934A" w14:textId="77777777" w:rsidR="00AA1C47" w:rsidRPr="0068638F" w:rsidRDefault="00AA1C47">
      <w:pPr>
        <w:numPr>
          <w:ilvl w:val="0"/>
          <w:numId w:val="10"/>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 xml:space="preserve">“Monthly </w:t>
      </w:r>
      <w:proofErr w:type="spellStart"/>
      <w:r w:rsidRPr="0068638F">
        <w:rPr>
          <w:rFonts w:ascii="Futura" w:eastAsia="Aptos" w:hAnsi="Futura" w:cs="Futura"/>
          <w:color w:val="auto"/>
          <w:kern w:val="2"/>
          <w:sz w:val="24"/>
          <w:szCs w:val="24"/>
          <w:lang w:val="en-US"/>
          <w14:ligatures w14:val="standardContextual"/>
        </w:rPr>
        <w:t>ROIdep</w:t>
      </w:r>
      <w:proofErr w:type="spellEnd"/>
      <w:r w:rsidRPr="0068638F">
        <w:rPr>
          <w:rFonts w:ascii="Futura" w:eastAsia="Aptos" w:hAnsi="Futura" w:cs="Futura"/>
          <w:color w:val="auto"/>
          <w:kern w:val="2"/>
          <w:sz w:val="24"/>
          <w:szCs w:val="24"/>
          <w:lang w:val="en-US"/>
          <w14:ligatures w14:val="standardContextual"/>
        </w:rPr>
        <w:t xml:space="preserve">” means the monthly depreciation amount </w:t>
      </w:r>
      <w:proofErr w:type="spellStart"/>
      <w:r w:rsidRPr="0068638F">
        <w:rPr>
          <w:rFonts w:ascii="Futura" w:eastAsia="Aptos" w:hAnsi="Futura" w:cs="Futura"/>
          <w:color w:val="auto"/>
          <w:kern w:val="2"/>
          <w:sz w:val="24"/>
          <w:szCs w:val="24"/>
          <w:lang w:val="en-US"/>
          <w14:ligatures w14:val="standardContextual"/>
        </w:rPr>
        <w:t>recognised</w:t>
      </w:r>
      <w:proofErr w:type="spellEnd"/>
      <w:r w:rsidRPr="0068638F">
        <w:rPr>
          <w:rFonts w:ascii="Futura" w:eastAsia="Aptos" w:hAnsi="Futura" w:cs="Futura"/>
          <w:color w:val="auto"/>
          <w:kern w:val="2"/>
          <w:sz w:val="24"/>
          <w:szCs w:val="24"/>
          <w:lang w:val="en-US"/>
          <w14:ligatures w14:val="standardContextual"/>
        </w:rPr>
        <w:t xml:space="preserve"> in the Applicable Tariff Order; and</w:t>
      </w:r>
    </w:p>
    <w:p w14:paraId="3BBA8069"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7CDCFFCD" w14:textId="77777777" w:rsidR="00AA1C47" w:rsidRPr="0068638F" w:rsidRDefault="00AA1C47">
      <w:pPr>
        <w:numPr>
          <w:ilvl w:val="0"/>
          <w:numId w:val="10"/>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 xml:space="preserve">“Monthly ROI” means the monthly return on capital </w:t>
      </w:r>
      <w:proofErr w:type="spellStart"/>
      <w:r w:rsidRPr="0068638F">
        <w:rPr>
          <w:rFonts w:ascii="Futura" w:eastAsia="Aptos" w:hAnsi="Futura" w:cs="Futura"/>
          <w:color w:val="auto"/>
          <w:kern w:val="2"/>
          <w:sz w:val="24"/>
          <w:szCs w:val="24"/>
          <w:lang w:val="en-US"/>
          <w14:ligatures w14:val="standardContextual"/>
        </w:rPr>
        <w:t>recognised</w:t>
      </w:r>
      <w:proofErr w:type="spellEnd"/>
      <w:r w:rsidRPr="0068638F">
        <w:rPr>
          <w:rFonts w:ascii="Futura" w:eastAsia="Aptos" w:hAnsi="Futura" w:cs="Futura"/>
          <w:color w:val="auto"/>
          <w:kern w:val="2"/>
          <w:sz w:val="24"/>
          <w:szCs w:val="24"/>
          <w:lang w:val="en-US"/>
          <w14:ligatures w14:val="standardContextual"/>
        </w:rPr>
        <w:t xml:space="preserve"> in the Applicable Tariff Order, excluding working capital unless otherwise approved by the Commission.</w:t>
      </w:r>
    </w:p>
    <w:p w14:paraId="454E5C80"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6A3F6C3F"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4.6</w:t>
      </w:r>
      <w:r w:rsidRPr="0068638F">
        <w:rPr>
          <w:rFonts w:ascii="Futura" w:eastAsia="Aptos" w:hAnsi="Futura" w:cs="Futura"/>
          <w:color w:val="auto"/>
          <w:kern w:val="2"/>
          <w:sz w:val="24"/>
          <w:szCs w:val="24"/>
          <w:lang w:val="en-US"/>
          <w14:ligatures w14:val="standardContextual"/>
        </w:rPr>
        <w:tab/>
        <w:t>The NAUF shall not include retail operating expenditure attributable to service delivery within the designated IMG area, except where otherwise approved by the Commission.</w:t>
      </w:r>
    </w:p>
    <w:p w14:paraId="1E288D3F"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p>
    <w:p w14:paraId="14BF73FE"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4.7</w:t>
      </w:r>
      <w:r w:rsidRPr="0068638F">
        <w:rPr>
          <w:rFonts w:ascii="Futura" w:eastAsia="Aptos" w:hAnsi="Futura" w:cs="Futura"/>
          <w:color w:val="auto"/>
          <w:kern w:val="2"/>
          <w:sz w:val="24"/>
          <w:szCs w:val="24"/>
          <w:lang w:val="en-US"/>
          <w14:ligatures w14:val="standardContextual"/>
        </w:rPr>
        <w:tab/>
        <w:t>The applicable NAUF shall be determined at commencement by reference to the Applicable Tariff Order and shall thereafter be adjusted only upon;</w:t>
      </w:r>
    </w:p>
    <w:p w14:paraId="0FD1A367" w14:textId="77777777" w:rsidR="00AA1C47" w:rsidRPr="0068638F" w:rsidRDefault="00AA1C47">
      <w:pPr>
        <w:numPr>
          <w:ilvl w:val="0"/>
          <w:numId w:val="11"/>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Commission-approved tariff review;</w:t>
      </w:r>
    </w:p>
    <w:p w14:paraId="78766EDF"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728853A6" w14:textId="77777777" w:rsidR="00AA1C47" w:rsidRPr="0068638F" w:rsidRDefault="00AA1C47">
      <w:pPr>
        <w:numPr>
          <w:ilvl w:val="0"/>
          <w:numId w:val="11"/>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a Commission-approved revaluation or adjustment of the relevant asset base;</w:t>
      </w:r>
    </w:p>
    <w:p w14:paraId="72FE0435"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15F45DAB" w14:textId="77777777" w:rsidR="00AA1C47" w:rsidRPr="0068638F" w:rsidRDefault="00AA1C47">
      <w:pPr>
        <w:numPr>
          <w:ilvl w:val="0"/>
          <w:numId w:val="11"/>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a Commission-approved rehabilitation, replacement, or expansion affecting the relevant asset base; or</w:t>
      </w:r>
    </w:p>
    <w:p w14:paraId="5ABA18B3"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305271FB" w14:textId="77777777" w:rsidR="00AA1C47" w:rsidRPr="0068638F" w:rsidRDefault="00AA1C47">
      <w:pPr>
        <w:numPr>
          <w:ilvl w:val="0"/>
          <w:numId w:val="11"/>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lastRenderedPageBreak/>
        <w:t>such other basis as the Commission may approve or direct.</w:t>
      </w:r>
    </w:p>
    <w:p w14:paraId="65EB73B0"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14C2080C" w14:textId="77777777" w:rsidR="00AA1C47" w:rsidRPr="0068638F" w:rsidRDefault="00AA1C47" w:rsidP="00AA1C47">
      <w:pPr>
        <w:spacing w:after="160" w:line="278" w:lineRule="auto"/>
        <w:ind w:left="0" w:right="0" w:firstLine="72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 xml:space="preserve">Table 1: Components of </w:t>
      </w:r>
      <w:proofErr w:type="spellStart"/>
      <w:r w:rsidRPr="0068638F">
        <w:rPr>
          <w:rFonts w:ascii="Futura" w:eastAsia="Aptos" w:hAnsi="Futura" w:cs="Futura"/>
          <w:b/>
          <w:bCs/>
          <w:color w:val="auto"/>
          <w:kern w:val="2"/>
          <w:sz w:val="24"/>
          <w:szCs w:val="24"/>
          <w:lang w:val="en-US"/>
          <w14:ligatures w14:val="standardContextual"/>
        </w:rPr>
        <w:t>DUoS</w:t>
      </w:r>
      <w:proofErr w:type="spellEnd"/>
      <w:r w:rsidRPr="0068638F">
        <w:rPr>
          <w:rFonts w:ascii="Futura" w:eastAsia="Aptos" w:hAnsi="Futura" w:cs="Futura"/>
          <w:b/>
          <w:bCs/>
          <w:color w:val="auto"/>
          <w:kern w:val="2"/>
          <w:sz w:val="24"/>
          <w:szCs w:val="24"/>
          <w:lang w:val="en-US"/>
          <w14:ligatures w14:val="standardContextual"/>
        </w:rPr>
        <w:t xml:space="preserve"> </w:t>
      </w:r>
      <w:proofErr w:type="spellStart"/>
      <w:r w:rsidRPr="0068638F">
        <w:rPr>
          <w:rFonts w:ascii="Futura" w:eastAsia="Aptos" w:hAnsi="Futura" w:cs="Futura"/>
          <w:b/>
          <w:bCs/>
          <w:color w:val="auto"/>
          <w:kern w:val="2"/>
          <w:sz w:val="24"/>
          <w:szCs w:val="24"/>
          <w:lang w:val="en-US"/>
          <w14:ligatures w14:val="standardContextual"/>
        </w:rPr>
        <w:t>Recognised</w:t>
      </w:r>
      <w:proofErr w:type="spellEnd"/>
      <w:r w:rsidRPr="0068638F">
        <w:rPr>
          <w:rFonts w:ascii="Futura" w:eastAsia="Aptos" w:hAnsi="Futura" w:cs="Futura"/>
          <w:b/>
          <w:bCs/>
          <w:color w:val="auto"/>
          <w:kern w:val="2"/>
          <w:sz w:val="24"/>
          <w:szCs w:val="24"/>
          <w:lang w:val="en-US"/>
          <w14:ligatures w14:val="standardContextual"/>
        </w:rPr>
        <w:t xml:space="preserve"> in Determining NAUF</w:t>
      </w:r>
    </w:p>
    <w:tbl>
      <w:tblPr>
        <w:tblStyle w:val="TableGrid3"/>
        <w:tblW w:w="0" w:type="auto"/>
        <w:tblInd w:w="838" w:type="dxa"/>
        <w:tblLook w:val="04A0" w:firstRow="1" w:lastRow="0" w:firstColumn="1" w:lastColumn="0" w:noHBand="0" w:noVBand="1"/>
      </w:tblPr>
      <w:tblGrid>
        <w:gridCol w:w="5179"/>
        <w:gridCol w:w="2852"/>
      </w:tblGrid>
      <w:tr w:rsidR="00AA1C47" w:rsidRPr="0068638F" w14:paraId="06821B4F" w14:textId="77777777" w:rsidTr="00E03240">
        <w:tc>
          <w:tcPr>
            <w:tcW w:w="0" w:type="auto"/>
            <w:hideMark/>
          </w:tcPr>
          <w:p w14:paraId="72BB776B" w14:textId="77777777" w:rsidR="00AA1C47" w:rsidRPr="0068638F" w:rsidRDefault="00AA1C47" w:rsidP="00E03240">
            <w:pPr>
              <w:spacing w:after="160" w:line="278" w:lineRule="auto"/>
              <w:ind w:left="0" w:right="0" w:firstLine="0"/>
              <w:rPr>
                <w:rFonts w:ascii="Futura" w:eastAsia="Aptos" w:hAnsi="Futura" w:cs="Futura"/>
                <w:b/>
                <w:bCs/>
                <w:color w:val="auto"/>
                <w:sz w:val="24"/>
                <w:lang w:val="en-US"/>
              </w:rPr>
            </w:pPr>
            <w:r w:rsidRPr="0068638F">
              <w:rPr>
                <w:rFonts w:ascii="Futura" w:eastAsia="Aptos" w:hAnsi="Futura" w:cs="Futura"/>
                <w:b/>
                <w:bCs/>
                <w:color w:val="auto"/>
                <w:sz w:val="24"/>
                <w:lang w:val="en-US"/>
              </w:rPr>
              <w:t xml:space="preserve">Component of </w:t>
            </w:r>
            <w:proofErr w:type="spellStart"/>
            <w:r w:rsidRPr="0068638F">
              <w:rPr>
                <w:rFonts w:ascii="Futura" w:eastAsia="Aptos" w:hAnsi="Futura" w:cs="Futura"/>
                <w:b/>
                <w:bCs/>
                <w:color w:val="auto"/>
                <w:sz w:val="24"/>
                <w:lang w:val="en-US"/>
              </w:rPr>
              <w:t>DUoS</w:t>
            </w:r>
            <w:proofErr w:type="spellEnd"/>
          </w:p>
        </w:tc>
        <w:tc>
          <w:tcPr>
            <w:tcW w:w="0" w:type="auto"/>
            <w:hideMark/>
          </w:tcPr>
          <w:p w14:paraId="1CE13384" w14:textId="77777777" w:rsidR="00AA1C47" w:rsidRPr="0068638F" w:rsidRDefault="00AA1C47" w:rsidP="00E03240">
            <w:pPr>
              <w:spacing w:after="160" w:line="278" w:lineRule="auto"/>
              <w:ind w:left="0" w:right="0" w:firstLine="0"/>
              <w:rPr>
                <w:rFonts w:ascii="Futura" w:eastAsia="Aptos" w:hAnsi="Futura" w:cs="Futura"/>
                <w:b/>
                <w:bCs/>
                <w:color w:val="auto"/>
                <w:sz w:val="24"/>
                <w:lang w:val="en-US"/>
              </w:rPr>
            </w:pPr>
            <w:r w:rsidRPr="0068638F">
              <w:rPr>
                <w:rFonts w:ascii="Futura" w:eastAsia="Aptos" w:hAnsi="Futura" w:cs="Futura"/>
                <w:b/>
                <w:bCs/>
                <w:color w:val="auto"/>
                <w:sz w:val="24"/>
                <w:lang w:val="en-US"/>
              </w:rPr>
              <w:t>Recognition in NAUF</w:t>
            </w:r>
          </w:p>
        </w:tc>
      </w:tr>
      <w:tr w:rsidR="00AA1C47" w:rsidRPr="0068638F" w14:paraId="783F3B10" w14:textId="77777777" w:rsidTr="00E03240">
        <w:tc>
          <w:tcPr>
            <w:tcW w:w="0" w:type="auto"/>
            <w:hideMark/>
          </w:tcPr>
          <w:p w14:paraId="485E5CB2"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Return on Investment (ROI)</w:t>
            </w:r>
          </w:p>
        </w:tc>
        <w:tc>
          <w:tcPr>
            <w:tcW w:w="0" w:type="auto"/>
            <w:hideMark/>
          </w:tcPr>
          <w:p w14:paraId="6716FEF0"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50%</w:t>
            </w:r>
          </w:p>
        </w:tc>
      </w:tr>
      <w:tr w:rsidR="00AA1C47" w:rsidRPr="0068638F" w14:paraId="7A90B823" w14:textId="77777777" w:rsidTr="00E03240">
        <w:tc>
          <w:tcPr>
            <w:tcW w:w="0" w:type="auto"/>
            <w:hideMark/>
          </w:tcPr>
          <w:p w14:paraId="2CC9DB03"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Return of Investment / Depreciation (</w:t>
            </w:r>
            <w:proofErr w:type="spellStart"/>
            <w:r w:rsidRPr="0068638F">
              <w:rPr>
                <w:rFonts w:ascii="Futura" w:eastAsia="Aptos" w:hAnsi="Futura" w:cs="Futura"/>
                <w:color w:val="auto"/>
                <w:sz w:val="24"/>
                <w:lang w:val="en-US"/>
              </w:rPr>
              <w:t>ROIdep</w:t>
            </w:r>
            <w:proofErr w:type="spellEnd"/>
            <w:r w:rsidRPr="0068638F">
              <w:rPr>
                <w:rFonts w:ascii="Futura" w:eastAsia="Aptos" w:hAnsi="Futura" w:cs="Futura"/>
                <w:color w:val="auto"/>
                <w:sz w:val="24"/>
                <w:lang w:val="en-US"/>
              </w:rPr>
              <w:t>)</w:t>
            </w:r>
          </w:p>
        </w:tc>
        <w:tc>
          <w:tcPr>
            <w:tcW w:w="0" w:type="auto"/>
            <w:hideMark/>
          </w:tcPr>
          <w:p w14:paraId="56E3C1DA"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100%</w:t>
            </w:r>
          </w:p>
        </w:tc>
      </w:tr>
      <w:tr w:rsidR="00AA1C47" w:rsidRPr="0068638F" w14:paraId="7FF5B976" w14:textId="77777777" w:rsidTr="00E03240">
        <w:tc>
          <w:tcPr>
            <w:tcW w:w="0" w:type="auto"/>
            <w:hideMark/>
          </w:tcPr>
          <w:p w14:paraId="1CF4FECB"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Operations and Maintenance Cost (</w:t>
            </w:r>
            <w:proofErr w:type="spellStart"/>
            <w:r w:rsidRPr="0068638F">
              <w:rPr>
                <w:rFonts w:ascii="Futura" w:eastAsia="Aptos" w:hAnsi="Futura" w:cs="Futura"/>
                <w:color w:val="auto"/>
                <w:sz w:val="24"/>
                <w:lang w:val="en-US"/>
              </w:rPr>
              <w:t>Opex</w:t>
            </w:r>
            <w:proofErr w:type="spellEnd"/>
            <w:r w:rsidRPr="0068638F">
              <w:rPr>
                <w:rFonts w:ascii="Futura" w:eastAsia="Aptos" w:hAnsi="Futura" w:cs="Futura"/>
                <w:color w:val="auto"/>
                <w:sz w:val="24"/>
                <w:lang w:val="en-US"/>
              </w:rPr>
              <w:t>)</w:t>
            </w:r>
          </w:p>
        </w:tc>
        <w:tc>
          <w:tcPr>
            <w:tcW w:w="0" w:type="auto"/>
            <w:hideMark/>
          </w:tcPr>
          <w:p w14:paraId="7DDF70C2"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0%</w:t>
            </w:r>
          </w:p>
        </w:tc>
      </w:tr>
    </w:tbl>
    <w:p w14:paraId="10D8CECB"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p>
    <w:p w14:paraId="6881FD03" w14:textId="77777777" w:rsidR="00AA1C47" w:rsidRPr="0068638F" w:rsidRDefault="00AA1C47" w:rsidP="00AA1C47">
      <w:pPr>
        <w:spacing w:after="160" w:line="278" w:lineRule="auto"/>
        <w:ind w:left="0" w:right="0" w:firstLine="72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Table 2: Parameters for Determining NAUF</w:t>
      </w:r>
    </w:p>
    <w:tbl>
      <w:tblPr>
        <w:tblStyle w:val="TableGrid3"/>
        <w:tblW w:w="0" w:type="auto"/>
        <w:tblInd w:w="715" w:type="dxa"/>
        <w:tblLook w:val="04A0" w:firstRow="1" w:lastRow="0" w:firstColumn="1" w:lastColumn="0" w:noHBand="0" w:noVBand="1"/>
      </w:tblPr>
      <w:tblGrid>
        <w:gridCol w:w="1577"/>
        <w:gridCol w:w="6724"/>
      </w:tblGrid>
      <w:tr w:rsidR="00AA1C47" w:rsidRPr="0068638F" w14:paraId="094722CE" w14:textId="77777777" w:rsidTr="00E03240">
        <w:tc>
          <w:tcPr>
            <w:tcW w:w="1530" w:type="dxa"/>
            <w:hideMark/>
          </w:tcPr>
          <w:p w14:paraId="5DD44FED" w14:textId="77777777" w:rsidR="00AA1C47" w:rsidRPr="0068638F" w:rsidRDefault="00AA1C47" w:rsidP="00E03240">
            <w:pPr>
              <w:spacing w:after="160" w:line="278" w:lineRule="auto"/>
              <w:ind w:left="0" w:right="0" w:firstLine="0"/>
              <w:rPr>
                <w:rFonts w:ascii="Futura" w:eastAsia="Aptos" w:hAnsi="Futura" w:cs="Futura"/>
                <w:b/>
                <w:bCs/>
                <w:color w:val="auto"/>
                <w:sz w:val="24"/>
                <w:lang w:val="en-US"/>
              </w:rPr>
            </w:pPr>
            <w:r w:rsidRPr="0068638F">
              <w:rPr>
                <w:rFonts w:ascii="Futura" w:eastAsia="Aptos" w:hAnsi="Futura" w:cs="Futura"/>
                <w:b/>
                <w:bCs/>
                <w:color w:val="auto"/>
                <w:sz w:val="24"/>
                <w:lang w:val="en-US"/>
              </w:rPr>
              <w:t>Parameter</w:t>
            </w:r>
          </w:p>
        </w:tc>
        <w:tc>
          <w:tcPr>
            <w:tcW w:w="7105" w:type="dxa"/>
            <w:hideMark/>
          </w:tcPr>
          <w:p w14:paraId="350B3042" w14:textId="77777777" w:rsidR="00AA1C47" w:rsidRPr="0068638F" w:rsidRDefault="00AA1C47" w:rsidP="00E03240">
            <w:pPr>
              <w:spacing w:after="160" w:line="278" w:lineRule="auto"/>
              <w:ind w:left="0" w:right="0" w:firstLine="0"/>
              <w:rPr>
                <w:rFonts w:ascii="Futura" w:eastAsia="Aptos" w:hAnsi="Futura" w:cs="Futura"/>
                <w:b/>
                <w:bCs/>
                <w:color w:val="auto"/>
                <w:sz w:val="24"/>
                <w:lang w:val="en-US"/>
              </w:rPr>
            </w:pPr>
            <w:r w:rsidRPr="0068638F">
              <w:rPr>
                <w:rFonts w:ascii="Futura" w:eastAsia="Aptos" w:hAnsi="Futura" w:cs="Futura"/>
                <w:b/>
                <w:bCs/>
                <w:color w:val="auto"/>
                <w:sz w:val="24"/>
                <w:lang w:val="en-US"/>
              </w:rPr>
              <w:t>Description</w:t>
            </w:r>
          </w:p>
        </w:tc>
      </w:tr>
      <w:tr w:rsidR="00AA1C47" w:rsidRPr="0068638F" w14:paraId="4ACD5AE0" w14:textId="77777777" w:rsidTr="00E03240">
        <w:tc>
          <w:tcPr>
            <w:tcW w:w="1530" w:type="dxa"/>
            <w:hideMark/>
          </w:tcPr>
          <w:p w14:paraId="090EEF9D"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 Share of RAB</w:t>
            </w:r>
          </w:p>
        </w:tc>
        <w:tc>
          <w:tcPr>
            <w:tcW w:w="7105" w:type="dxa"/>
            <w:hideMark/>
          </w:tcPr>
          <w:p w14:paraId="1D0B050C"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Depreciated value of relevant Distribution Licensee assets within IMG area ÷ Total depreciated value of Distribution Licensee RAB</w:t>
            </w:r>
          </w:p>
        </w:tc>
      </w:tr>
      <w:tr w:rsidR="00AA1C47" w:rsidRPr="0068638F" w14:paraId="15AAFAF4" w14:textId="77777777" w:rsidTr="00E03240">
        <w:tc>
          <w:tcPr>
            <w:tcW w:w="1530" w:type="dxa"/>
            <w:hideMark/>
          </w:tcPr>
          <w:p w14:paraId="43242216"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 xml:space="preserve">Monthly </w:t>
            </w:r>
            <w:proofErr w:type="spellStart"/>
            <w:r w:rsidRPr="0068638F">
              <w:rPr>
                <w:rFonts w:ascii="Futura" w:eastAsia="Aptos" w:hAnsi="Futura" w:cs="Futura"/>
                <w:color w:val="auto"/>
                <w:sz w:val="24"/>
                <w:lang w:val="en-US"/>
              </w:rPr>
              <w:t>ROIdep</w:t>
            </w:r>
            <w:proofErr w:type="spellEnd"/>
          </w:p>
        </w:tc>
        <w:tc>
          <w:tcPr>
            <w:tcW w:w="7105" w:type="dxa"/>
            <w:hideMark/>
          </w:tcPr>
          <w:p w14:paraId="5C3C703F"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As provided in the Applicable Tariff Order</w:t>
            </w:r>
          </w:p>
        </w:tc>
      </w:tr>
      <w:tr w:rsidR="00AA1C47" w:rsidRPr="0068638F" w14:paraId="3F9861D7" w14:textId="77777777" w:rsidTr="00E03240">
        <w:tc>
          <w:tcPr>
            <w:tcW w:w="1530" w:type="dxa"/>
            <w:hideMark/>
          </w:tcPr>
          <w:p w14:paraId="5B6A22DA"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Monthly ROI</w:t>
            </w:r>
          </w:p>
        </w:tc>
        <w:tc>
          <w:tcPr>
            <w:tcW w:w="7105" w:type="dxa"/>
            <w:hideMark/>
          </w:tcPr>
          <w:p w14:paraId="11C7F897"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As provided in the Applicable Tariff Order, excluding working capital unless otherwise approved</w:t>
            </w:r>
          </w:p>
        </w:tc>
      </w:tr>
    </w:tbl>
    <w:p w14:paraId="53EE5CA8"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p>
    <w:p w14:paraId="7A6573EB"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5.</w:t>
      </w:r>
      <w:r w:rsidRPr="0068638F">
        <w:rPr>
          <w:rFonts w:ascii="Futura" w:eastAsia="Aptos" w:hAnsi="Futura" w:cs="Futura"/>
          <w:b/>
          <w:bCs/>
          <w:color w:val="auto"/>
          <w:kern w:val="2"/>
          <w:sz w:val="24"/>
          <w:szCs w:val="24"/>
          <w:lang w:val="en-US"/>
          <w14:ligatures w14:val="standardContextual"/>
        </w:rPr>
        <w:tab/>
        <w:t>Determination of Cost of Energy</w:t>
      </w:r>
    </w:p>
    <w:p w14:paraId="211CE4E0"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5.1</w:t>
      </w:r>
      <w:r w:rsidRPr="0068638F">
        <w:rPr>
          <w:rFonts w:ascii="Futura" w:eastAsia="Aptos" w:hAnsi="Futura" w:cs="Futura"/>
          <w:color w:val="auto"/>
          <w:kern w:val="2"/>
          <w:sz w:val="24"/>
          <w:szCs w:val="24"/>
          <w:lang w:val="en-US"/>
          <w14:ligatures w14:val="standardContextual"/>
        </w:rPr>
        <w:tab/>
        <w:t xml:space="preserve">The </w:t>
      </w:r>
      <w:proofErr w:type="spellStart"/>
      <w:r w:rsidRPr="0068638F">
        <w:rPr>
          <w:rFonts w:ascii="Futura" w:eastAsia="Aptos" w:hAnsi="Futura" w:cs="Futura"/>
          <w:color w:val="auto"/>
          <w:kern w:val="2"/>
          <w:sz w:val="24"/>
          <w:szCs w:val="24"/>
          <w:lang w:val="en-US"/>
          <w14:ligatures w14:val="standardContextual"/>
        </w:rPr>
        <w:t>CoE</w:t>
      </w:r>
      <w:proofErr w:type="spellEnd"/>
      <w:r w:rsidRPr="0068638F">
        <w:rPr>
          <w:rFonts w:ascii="Futura" w:eastAsia="Aptos" w:hAnsi="Futura" w:cs="Futura"/>
          <w:color w:val="auto"/>
          <w:kern w:val="2"/>
          <w:sz w:val="24"/>
          <w:szCs w:val="24"/>
          <w:lang w:val="en-US"/>
          <w14:ligatures w14:val="standardContextual"/>
        </w:rPr>
        <w:t xml:space="preserve"> shall be the unit price, expressed in Naira per kilowatt-hour (</w:t>
      </w:r>
      <w:r w:rsidRPr="0068638F">
        <w:rPr>
          <w:rFonts w:ascii="Arial" w:eastAsia="Aptos" w:hAnsi="Arial" w:cs="Arial"/>
          <w:color w:val="auto"/>
          <w:kern w:val="2"/>
          <w:sz w:val="24"/>
          <w:szCs w:val="24"/>
          <w:lang w:val="en-US"/>
          <w14:ligatures w14:val="standardContextual"/>
        </w:rPr>
        <w:t>₦</w:t>
      </w:r>
      <w:r w:rsidRPr="0068638F">
        <w:rPr>
          <w:rFonts w:ascii="Futura" w:eastAsia="Aptos" w:hAnsi="Futura" w:cs="Futura"/>
          <w:color w:val="auto"/>
          <w:kern w:val="2"/>
          <w:sz w:val="24"/>
          <w:szCs w:val="24"/>
          <w:lang w:val="en-US"/>
          <w14:ligatures w14:val="standardContextual"/>
        </w:rPr>
        <w:t>/kWh), payable by the IMG Operator for electrical energy delivered by the Distribution Licensee at the PCC.</w:t>
      </w:r>
    </w:p>
    <w:p w14:paraId="6C852B6E"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5.2</w:t>
      </w:r>
      <w:r w:rsidRPr="0068638F">
        <w:rPr>
          <w:rFonts w:ascii="Futura" w:eastAsia="Aptos" w:hAnsi="Futura" w:cs="Futura"/>
          <w:color w:val="auto"/>
          <w:kern w:val="2"/>
          <w:sz w:val="24"/>
          <w:szCs w:val="24"/>
          <w:lang w:val="en-US"/>
          <w14:ligatures w14:val="standardContextual"/>
        </w:rPr>
        <w:tab/>
        <w:t xml:space="preserve">Unless otherwise approved by the Commission, the </w:t>
      </w:r>
      <w:proofErr w:type="spellStart"/>
      <w:r w:rsidRPr="0068638F">
        <w:rPr>
          <w:rFonts w:ascii="Futura" w:eastAsia="Aptos" w:hAnsi="Futura" w:cs="Futura"/>
          <w:color w:val="auto"/>
          <w:kern w:val="2"/>
          <w:sz w:val="24"/>
          <w:szCs w:val="24"/>
          <w:lang w:val="en-US"/>
          <w14:ligatures w14:val="standardContextual"/>
        </w:rPr>
        <w:t>CoE</w:t>
      </w:r>
      <w:proofErr w:type="spellEnd"/>
      <w:r w:rsidRPr="0068638F">
        <w:rPr>
          <w:rFonts w:ascii="Futura" w:eastAsia="Aptos" w:hAnsi="Futura" w:cs="Futura"/>
          <w:color w:val="auto"/>
          <w:kern w:val="2"/>
          <w:sz w:val="24"/>
          <w:szCs w:val="24"/>
          <w:lang w:val="en-US"/>
          <w14:ligatures w14:val="standardContextual"/>
        </w:rPr>
        <w:t xml:space="preserve"> shall comprise the following components—</w:t>
      </w:r>
    </w:p>
    <w:p w14:paraId="4BE014CB" w14:textId="77777777" w:rsidR="00AA1C47" w:rsidRPr="0068638F" w:rsidRDefault="00AA1C47">
      <w:pPr>
        <w:numPr>
          <w:ilvl w:val="0"/>
          <w:numId w:val="12"/>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Regulatory Interventions and Provisions;</w:t>
      </w:r>
    </w:p>
    <w:p w14:paraId="6E8A9712"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55D279E2" w14:textId="77777777" w:rsidR="00AA1C47" w:rsidRPr="0068638F" w:rsidRDefault="00AA1C47">
      <w:pPr>
        <w:numPr>
          <w:ilvl w:val="0"/>
          <w:numId w:val="12"/>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Generation Cost adjusted by the applicable DRO;</w:t>
      </w:r>
    </w:p>
    <w:p w14:paraId="069AC61F"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7AAF3FC4" w14:textId="77777777" w:rsidR="00AA1C47" w:rsidRPr="0068638F" w:rsidRDefault="00AA1C47">
      <w:pPr>
        <w:numPr>
          <w:ilvl w:val="0"/>
          <w:numId w:val="12"/>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Transmission and Administration Cost</w:t>
      </w:r>
    </w:p>
    <w:p w14:paraId="302E3E5C"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791B2882" w14:textId="77777777" w:rsidR="00AA1C47" w:rsidRPr="0068638F" w:rsidRDefault="00AA1C47">
      <w:pPr>
        <w:numPr>
          <w:ilvl w:val="0"/>
          <w:numId w:val="12"/>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lastRenderedPageBreak/>
        <w:t>thirty-three per cent (33%) of the approved Distribution Licensee operating expenditure attributable to delivery of electricity up to the PCC; and</w:t>
      </w:r>
    </w:p>
    <w:p w14:paraId="21EE024F"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42DB4693" w14:textId="77777777" w:rsidR="00AA1C47" w:rsidRPr="0068638F" w:rsidRDefault="00AA1C47">
      <w:pPr>
        <w:numPr>
          <w:ilvl w:val="0"/>
          <w:numId w:val="12"/>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the approved regulated technical loss factor applicable to the dedicated network segment supplying the IMG, applied in accordance with paragraph 5.4.</w:t>
      </w:r>
    </w:p>
    <w:p w14:paraId="712F3FE1"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3CB289B5"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5.3</w:t>
      </w:r>
      <w:r w:rsidRPr="0068638F">
        <w:rPr>
          <w:rFonts w:ascii="Futura" w:eastAsia="Aptos" w:hAnsi="Futura" w:cs="Futura"/>
          <w:color w:val="auto"/>
          <w:kern w:val="2"/>
          <w:sz w:val="24"/>
          <w:szCs w:val="24"/>
          <w:lang w:val="en-US"/>
          <w14:ligatures w14:val="standardContextual"/>
        </w:rPr>
        <w:tab/>
        <w:t xml:space="preserve">For purposes of determining </w:t>
      </w:r>
      <w:proofErr w:type="spellStart"/>
      <w:r w:rsidRPr="0068638F">
        <w:rPr>
          <w:rFonts w:ascii="Futura" w:eastAsia="Aptos" w:hAnsi="Futura" w:cs="Futura"/>
          <w:color w:val="auto"/>
          <w:kern w:val="2"/>
          <w:sz w:val="24"/>
          <w:szCs w:val="24"/>
          <w:lang w:val="en-US"/>
          <w14:ligatures w14:val="standardContextual"/>
        </w:rPr>
        <w:t>CoE</w:t>
      </w:r>
      <w:proofErr w:type="spellEnd"/>
      <w:r w:rsidRPr="0068638F">
        <w:rPr>
          <w:rFonts w:ascii="Futura" w:eastAsia="Aptos" w:hAnsi="Futura" w:cs="Futura"/>
          <w:color w:val="auto"/>
          <w:kern w:val="2"/>
          <w:sz w:val="24"/>
          <w:szCs w:val="24"/>
          <w:lang w:val="en-US"/>
          <w14:ligatures w14:val="standardContextual"/>
        </w:rPr>
        <w:t>, the upstream delivered cost before loss adjustment shall be;</w:t>
      </w:r>
    </w:p>
    <w:p w14:paraId="2859BF0B" w14:textId="77777777" w:rsidR="00AA1C47" w:rsidRPr="0068638F" w:rsidRDefault="00AA1C47" w:rsidP="00AA1C47">
      <w:pPr>
        <w:spacing w:after="160" w:line="278" w:lineRule="auto"/>
        <w:ind w:left="0" w:right="0" w:firstLine="720"/>
        <w:jc w:val="center"/>
        <w:rPr>
          <w:rFonts w:ascii="Futura" w:hAnsi="Futura" w:cs="Futura"/>
          <w:b/>
          <w:i/>
          <w:iCs/>
          <w:color w:val="auto"/>
          <w:kern w:val="2"/>
          <w:sz w:val="24"/>
          <w:szCs w:val="24"/>
          <w:lang w:val="pt-PT"/>
          <w14:ligatures w14:val="standardContextual"/>
        </w:rPr>
      </w:pPr>
      <w:r w:rsidRPr="0068638F">
        <w:rPr>
          <w:rFonts w:ascii="Futura" w:hAnsi="Futura" w:cs="Futura"/>
          <w:b/>
          <w:i/>
          <w:iCs/>
          <w:color w:val="auto"/>
          <w:kern w:val="2"/>
          <w:sz w:val="24"/>
          <w:szCs w:val="24"/>
          <w:lang w:val="pt-PT"/>
          <w14:ligatures w14:val="standardContextual"/>
        </w:rPr>
        <w:t>Base CoE = RI + (GC × DRO) + TC + (0.33 × OP)</w:t>
      </w:r>
    </w:p>
    <w:p w14:paraId="1602DE1E"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5.4</w:t>
      </w:r>
      <w:r w:rsidRPr="0068638F">
        <w:rPr>
          <w:rFonts w:ascii="Futura" w:eastAsia="Aptos" w:hAnsi="Futura" w:cs="Futura"/>
          <w:color w:val="auto"/>
          <w:kern w:val="2"/>
          <w:sz w:val="24"/>
          <w:szCs w:val="24"/>
          <w:lang w:val="en-US"/>
          <w14:ligatures w14:val="standardContextual"/>
        </w:rPr>
        <w:tab/>
        <w:t xml:space="preserve">The Applicable </w:t>
      </w:r>
      <w:proofErr w:type="spellStart"/>
      <w:r w:rsidRPr="0068638F">
        <w:rPr>
          <w:rFonts w:ascii="Futura" w:eastAsia="Aptos" w:hAnsi="Futura" w:cs="Futura"/>
          <w:color w:val="auto"/>
          <w:kern w:val="2"/>
          <w:sz w:val="24"/>
          <w:szCs w:val="24"/>
          <w:lang w:val="en-US"/>
          <w14:ligatures w14:val="standardContextual"/>
        </w:rPr>
        <w:t>CoE</w:t>
      </w:r>
      <w:proofErr w:type="spellEnd"/>
      <w:r w:rsidRPr="0068638F">
        <w:rPr>
          <w:rFonts w:ascii="Futura" w:eastAsia="Aptos" w:hAnsi="Futura" w:cs="Futura"/>
          <w:color w:val="auto"/>
          <w:kern w:val="2"/>
          <w:sz w:val="24"/>
          <w:szCs w:val="24"/>
          <w:lang w:val="en-US"/>
          <w14:ligatures w14:val="standardContextual"/>
        </w:rPr>
        <w:t xml:space="preserve"> shall be determined by grossing up the Base </w:t>
      </w:r>
      <w:proofErr w:type="spellStart"/>
      <w:r w:rsidRPr="0068638F">
        <w:rPr>
          <w:rFonts w:ascii="Futura" w:eastAsia="Aptos" w:hAnsi="Futura" w:cs="Futura"/>
          <w:color w:val="auto"/>
          <w:kern w:val="2"/>
          <w:sz w:val="24"/>
          <w:szCs w:val="24"/>
          <w:lang w:val="en-US"/>
          <w14:ligatures w14:val="standardContextual"/>
        </w:rPr>
        <w:t>CoE</w:t>
      </w:r>
      <w:proofErr w:type="spellEnd"/>
      <w:r w:rsidRPr="0068638F">
        <w:rPr>
          <w:rFonts w:ascii="Futura" w:eastAsia="Aptos" w:hAnsi="Futura" w:cs="Futura"/>
          <w:color w:val="auto"/>
          <w:kern w:val="2"/>
          <w:sz w:val="24"/>
          <w:szCs w:val="24"/>
          <w:lang w:val="en-US"/>
          <w14:ligatures w14:val="standardContextual"/>
        </w:rPr>
        <w:t xml:space="preserve"> for the approved regulated technical loss factor between the relevant injection point and the PCC, as follows;</w:t>
      </w:r>
    </w:p>
    <w:p w14:paraId="070FE591" w14:textId="77777777" w:rsidR="00AA1C47" w:rsidRPr="0068638F" w:rsidRDefault="00AA1C47" w:rsidP="00AA1C47">
      <w:pPr>
        <w:spacing w:after="160" w:line="278" w:lineRule="auto"/>
        <w:ind w:left="0" w:right="0" w:firstLine="720"/>
        <w:jc w:val="center"/>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i/>
          <w:iCs/>
          <w:color w:val="auto"/>
          <w:kern w:val="2"/>
          <w:sz w:val="24"/>
          <w:szCs w:val="24"/>
          <w:lang w:val="en-US"/>
          <w14:ligatures w14:val="standardContextual"/>
        </w:rPr>
        <w:t xml:space="preserve">Applicable </w:t>
      </w:r>
      <w:proofErr w:type="spellStart"/>
      <w:r w:rsidRPr="0068638F">
        <w:rPr>
          <w:rFonts w:ascii="Futura" w:eastAsia="Aptos" w:hAnsi="Futura" w:cs="Futura"/>
          <w:b/>
          <w:bCs/>
          <w:i/>
          <w:iCs/>
          <w:color w:val="auto"/>
          <w:kern w:val="2"/>
          <w:sz w:val="24"/>
          <w:szCs w:val="24"/>
          <w:lang w:val="en-US"/>
          <w14:ligatures w14:val="standardContextual"/>
        </w:rPr>
        <w:t>CoE</w:t>
      </w:r>
      <w:proofErr w:type="spellEnd"/>
      <w:r w:rsidRPr="0068638F">
        <w:rPr>
          <w:rFonts w:ascii="Futura" w:eastAsia="Aptos" w:hAnsi="Futura" w:cs="Futura"/>
          <w:b/>
          <w:bCs/>
          <w:i/>
          <w:iCs/>
          <w:color w:val="auto"/>
          <w:kern w:val="2"/>
          <w:sz w:val="24"/>
          <w:szCs w:val="24"/>
          <w:lang w:val="en-US"/>
          <w14:ligatures w14:val="standardContextual"/>
        </w:rPr>
        <w:t xml:space="preserve"> = Base </w:t>
      </w:r>
      <w:proofErr w:type="spellStart"/>
      <w:r w:rsidRPr="0068638F">
        <w:rPr>
          <w:rFonts w:ascii="Futura" w:eastAsia="Aptos" w:hAnsi="Futura" w:cs="Futura"/>
          <w:b/>
          <w:bCs/>
          <w:i/>
          <w:iCs/>
          <w:color w:val="auto"/>
          <w:kern w:val="2"/>
          <w:sz w:val="24"/>
          <w:szCs w:val="24"/>
          <w:lang w:val="en-US"/>
          <w14:ligatures w14:val="standardContextual"/>
        </w:rPr>
        <w:t>CoE</w:t>
      </w:r>
      <w:proofErr w:type="spellEnd"/>
      <w:r w:rsidRPr="0068638F">
        <w:rPr>
          <w:rFonts w:ascii="Futura" w:eastAsia="Aptos" w:hAnsi="Futura" w:cs="Futura"/>
          <w:b/>
          <w:bCs/>
          <w:i/>
          <w:iCs/>
          <w:color w:val="auto"/>
          <w:kern w:val="2"/>
          <w:sz w:val="24"/>
          <w:szCs w:val="24"/>
          <w:lang w:val="en-US"/>
          <w14:ligatures w14:val="standardContextual"/>
        </w:rPr>
        <w:t xml:space="preserve"> / (1 - RL</w:t>
      </w:r>
      <w:r w:rsidRPr="0068638F">
        <w:rPr>
          <w:rFonts w:ascii="Futura" w:eastAsia="Aptos" w:hAnsi="Futura" w:cs="Futura"/>
          <w:b/>
          <w:bCs/>
          <w:color w:val="auto"/>
          <w:kern w:val="2"/>
          <w:sz w:val="24"/>
          <w:szCs w:val="24"/>
          <w:lang w:val="en-US"/>
          <w14:ligatures w14:val="standardContextual"/>
        </w:rPr>
        <w:t>)</w:t>
      </w:r>
    </w:p>
    <w:p w14:paraId="07E695CA"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5.5</w:t>
      </w:r>
      <w:r w:rsidRPr="0068638F">
        <w:rPr>
          <w:rFonts w:ascii="Futura" w:eastAsia="Aptos" w:hAnsi="Futura" w:cs="Futura"/>
          <w:color w:val="auto"/>
          <w:kern w:val="2"/>
          <w:sz w:val="24"/>
          <w:szCs w:val="24"/>
          <w:lang w:val="en-US"/>
          <w14:ligatures w14:val="standardContextual"/>
        </w:rPr>
        <w:tab/>
        <w:t>For the avoidance of doubt, RL shall be a technical loss factor expressed as a decimal fraction and shall not be treated as a separate monetary line item unless otherwise expressly approved by the Commission.</w:t>
      </w:r>
    </w:p>
    <w:p w14:paraId="340D1D02"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5.6</w:t>
      </w:r>
      <w:r w:rsidRPr="0068638F">
        <w:rPr>
          <w:rFonts w:ascii="Futura" w:eastAsia="Aptos" w:hAnsi="Futura" w:cs="Futura"/>
          <w:color w:val="auto"/>
          <w:kern w:val="2"/>
          <w:sz w:val="24"/>
          <w:szCs w:val="24"/>
          <w:lang w:val="en-US"/>
          <w14:ligatures w14:val="standardContextual"/>
        </w:rPr>
        <w:tab/>
        <w:t>The monthly energy charge payable by the IMG Operator shall be calculated as follows;</w:t>
      </w:r>
    </w:p>
    <w:p w14:paraId="761E9929" w14:textId="77777777" w:rsidR="00AA1C47" w:rsidRPr="0068638F" w:rsidRDefault="00AA1C47" w:rsidP="00AA1C47">
      <w:pPr>
        <w:spacing w:after="160" w:line="278" w:lineRule="auto"/>
        <w:ind w:left="720" w:right="0" w:firstLine="0"/>
        <w:jc w:val="center"/>
        <w:rPr>
          <w:rFonts w:ascii="Futura" w:eastAsia="Aptos" w:hAnsi="Futura" w:cs="Futura"/>
          <w:b/>
          <w:bCs/>
          <w:i/>
          <w:iCs/>
          <w:color w:val="auto"/>
          <w:kern w:val="2"/>
          <w:sz w:val="24"/>
          <w:szCs w:val="24"/>
          <w:lang w:val="en-US"/>
          <w14:ligatures w14:val="standardContextual"/>
        </w:rPr>
      </w:pPr>
      <w:r w:rsidRPr="0068638F">
        <w:rPr>
          <w:rFonts w:ascii="Futura" w:eastAsia="Aptos" w:hAnsi="Futura" w:cs="Futura"/>
          <w:b/>
          <w:bCs/>
          <w:i/>
          <w:iCs/>
          <w:color w:val="auto"/>
          <w:kern w:val="2"/>
          <w:sz w:val="24"/>
          <w:szCs w:val="24"/>
          <w:lang w:val="en-US"/>
          <w14:ligatures w14:val="standardContextual"/>
        </w:rPr>
        <w:t xml:space="preserve">Monthly Energy Charge = Metered Energy Delivered at PCC (kWh) × Applicable </w:t>
      </w:r>
      <w:proofErr w:type="spellStart"/>
      <w:r w:rsidRPr="0068638F">
        <w:rPr>
          <w:rFonts w:ascii="Futura" w:eastAsia="Aptos" w:hAnsi="Futura" w:cs="Futura"/>
          <w:b/>
          <w:bCs/>
          <w:i/>
          <w:iCs/>
          <w:color w:val="auto"/>
          <w:kern w:val="2"/>
          <w:sz w:val="24"/>
          <w:szCs w:val="24"/>
          <w:lang w:val="en-US"/>
          <w14:ligatures w14:val="standardContextual"/>
        </w:rPr>
        <w:t>CoE</w:t>
      </w:r>
      <w:proofErr w:type="spellEnd"/>
      <w:r w:rsidRPr="0068638F">
        <w:rPr>
          <w:rFonts w:ascii="Futura" w:eastAsia="Aptos" w:hAnsi="Futura" w:cs="Futura"/>
          <w:b/>
          <w:bCs/>
          <w:i/>
          <w:iCs/>
          <w:color w:val="auto"/>
          <w:kern w:val="2"/>
          <w:sz w:val="24"/>
          <w:szCs w:val="24"/>
          <w:lang w:val="en-US"/>
          <w14:ligatures w14:val="standardContextual"/>
        </w:rPr>
        <w:t xml:space="preserve"> (</w:t>
      </w:r>
      <w:r w:rsidRPr="0068638F">
        <w:rPr>
          <w:rFonts w:ascii="Arial" w:eastAsia="Aptos" w:hAnsi="Arial" w:cs="Arial"/>
          <w:b/>
          <w:bCs/>
          <w:i/>
          <w:iCs/>
          <w:color w:val="auto"/>
          <w:kern w:val="2"/>
          <w:sz w:val="24"/>
          <w:szCs w:val="24"/>
          <w:lang w:val="en-US"/>
          <w14:ligatures w14:val="standardContextual"/>
        </w:rPr>
        <w:t>₦</w:t>
      </w:r>
      <w:r w:rsidRPr="0068638F">
        <w:rPr>
          <w:rFonts w:ascii="Futura" w:eastAsia="Aptos" w:hAnsi="Futura" w:cs="Futura"/>
          <w:b/>
          <w:bCs/>
          <w:i/>
          <w:iCs/>
          <w:color w:val="auto"/>
          <w:kern w:val="2"/>
          <w:sz w:val="24"/>
          <w:szCs w:val="24"/>
          <w:lang w:val="en-US"/>
          <w14:ligatures w14:val="standardContextual"/>
        </w:rPr>
        <w:t>/kWh)</w:t>
      </w:r>
    </w:p>
    <w:p w14:paraId="0EE6A605" w14:textId="77777777" w:rsidR="00AA1C47" w:rsidRPr="0068638F" w:rsidRDefault="00AA1C47" w:rsidP="00AA1C47">
      <w:pPr>
        <w:spacing w:after="160" w:line="278" w:lineRule="auto"/>
        <w:ind w:left="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5.7</w:t>
      </w:r>
      <w:r w:rsidRPr="0068638F">
        <w:rPr>
          <w:rFonts w:ascii="Futura" w:eastAsia="Aptos" w:hAnsi="Futura" w:cs="Futura"/>
          <w:color w:val="auto"/>
          <w:kern w:val="2"/>
          <w:sz w:val="24"/>
          <w:szCs w:val="24"/>
          <w:lang w:val="en-US"/>
          <w14:ligatures w14:val="standardContextual"/>
        </w:rPr>
        <w:tab/>
        <w:t>The applicable regulated technical loss factor shall—</w:t>
      </w:r>
    </w:p>
    <w:p w14:paraId="417BC57D" w14:textId="77777777" w:rsidR="00AA1C47" w:rsidRPr="0068638F" w:rsidRDefault="00AA1C47">
      <w:pPr>
        <w:numPr>
          <w:ilvl w:val="0"/>
          <w:numId w:val="13"/>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be limited to technical losses incurred in conveying electricity through the dedicated network segment supplying the IMG from the relevant injection point up to the PCC;</w:t>
      </w:r>
    </w:p>
    <w:p w14:paraId="445424AD"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6B0FD9A3" w14:textId="77777777" w:rsidR="00AA1C47" w:rsidRPr="0068638F" w:rsidRDefault="00AA1C47">
      <w:pPr>
        <w:numPr>
          <w:ilvl w:val="0"/>
          <w:numId w:val="13"/>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be determined through a proportionate network study, including a network study where appropriate, of the relevant line and associated equipment carried out by or on behalf of the Distribution Licensee;</w:t>
      </w:r>
    </w:p>
    <w:p w14:paraId="5A1D256B"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2B316698" w14:textId="77777777" w:rsidR="00AA1C47" w:rsidRPr="0068638F" w:rsidRDefault="00AA1C47">
      <w:pPr>
        <w:numPr>
          <w:ilvl w:val="0"/>
          <w:numId w:val="13"/>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be subject to certification by NEMSA where required by the Commission or applicable code; and</w:t>
      </w:r>
    </w:p>
    <w:p w14:paraId="21399E33"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3A76E138" w14:textId="77777777" w:rsidR="00AA1C47" w:rsidRPr="0068638F" w:rsidRDefault="00AA1C47">
      <w:pPr>
        <w:numPr>
          <w:ilvl w:val="0"/>
          <w:numId w:val="13"/>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lastRenderedPageBreak/>
        <w:t>be approved by the Commission.</w:t>
      </w:r>
    </w:p>
    <w:p w14:paraId="7DAB0140"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245BE146"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5.8</w:t>
      </w:r>
      <w:r w:rsidRPr="0068638F">
        <w:rPr>
          <w:rFonts w:ascii="Futura" w:eastAsia="Aptos" w:hAnsi="Futura" w:cs="Futura"/>
          <w:color w:val="auto"/>
          <w:kern w:val="2"/>
          <w:sz w:val="24"/>
          <w:szCs w:val="24"/>
          <w:lang w:val="en-US"/>
          <w14:ligatures w14:val="standardContextual"/>
        </w:rPr>
        <w:tab/>
        <w:t xml:space="preserve">Distribution Licensee return on investment, depreciation, and retail operating expenditure attributable to service within the designated IMG area shall not be included in the </w:t>
      </w:r>
      <w:proofErr w:type="spellStart"/>
      <w:r w:rsidRPr="0068638F">
        <w:rPr>
          <w:rFonts w:ascii="Futura" w:eastAsia="Aptos" w:hAnsi="Futura" w:cs="Futura"/>
          <w:color w:val="auto"/>
          <w:kern w:val="2"/>
          <w:sz w:val="24"/>
          <w:szCs w:val="24"/>
          <w:lang w:val="en-US"/>
          <w14:ligatures w14:val="standardContextual"/>
        </w:rPr>
        <w:t>CoE</w:t>
      </w:r>
      <w:proofErr w:type="spellEnd"/>
      <w:r w:rsidRPr="0068638F">
        <w:rPr>
          <w:rFonts w:ascii="Futura" w:eastAsia="Aptos" w:hAnsi="Futura" w:cs="Futura"/>
          <w:color w:val="auto"/>
          <w:kern w:val="2"/>
          <w:sz w:val="24"/>
          <w:szCs w:val="24"/>
          <w:lang w:val="en-US"/>
          <w14:ligatures w14:val="standardContextual"/>
        </w:rPr>
        <w:t>, except as expressly provided in this Schedule or otherwise approved by the Commission.</w:t>
      </w:r>
    </w:p>
    <w:p w14:paraId="73DDF8FE"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5.9</w:t>
      </w:r>
      <w:r w:rsidRPr="0068638F">
        <w:rPr>
          <w:rFonts w:ascii="Futura" w:eastAsia="Aptos" w:hAnsi="Futura" w:cs="Futura"/>
          <w:color w:val="auto"/>
          <w:kern w:val="2"/>
          <w:sz w:val="24"/>
          <w:szCs w:val="24"/>
          <w:lang w:val="en-US"/>
          <w14:ligatures w14:val="standardContextual"/>
        </w:rPr>
        <w:tab/>
        <w:t>The values of RI, GC, DRO, TC, and OP applicable for any billing month shall be those contained in the Applicable Tariff Order for that billing month unless the Commission directs otherwise.</w:t>
      </w:r>
    </w:p>
    <w:p w14:paraId="25A61BD1" w14:textId="77777777" w:rsidR="00AA1C47" w:rsidRPr="0068638F" w:rsidRDefault="00AA1C47" w:rsidP="00AA1C47">
      <w:pPr>
        <w:spacing w:after="160" w:line="278" w:lineRule="auto"/>
        <w:ind w:left="0" w:right="0" w:firstLine="72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 xml:space="preserve">Table 3: Components of </w:t>
      </w:r>
      <w:proofErr w:type="spellStart"/>
      <w:r w:rsidRPr="0068638F">
        <w:rPr>
          <w:rFonts w:ascii="Futura" w:eastAsia="Aptos" w:hAnsi="Futura" w:cs="Futura"/>
          <w:b/>
          <w:bCs/>
          <w:color w:val="auto"/>
          <w:kern w:val="2"/>
          <w:sz w:val="24"/>
          <w:szCs w:val="24"/>
          <w:lang w:val="en-US"/>
          <w14:ligatures w14:val="standardContextual"/>
        </w:rPr>
        <w:t>CoE</w:t>
      </w:r>
      <w:proofErr w:type="spellEnd"/>
    </w:p>
    <w:tbl>
      <w:tblPr>
        <w:tblStyle w:val="TableGrid3"/>
        <w:tblW w:w="0" w:type="auto"/>
        <w:tblInd w:w="715" w:type="dxa"/>
        <w:tblLook w:val="04A0" w:firstRow="1" w:lastRow="0" w:firstColumn="1" w:lastColumn="0" w:noHBand="0" w:noVBand="1"/>
      </w:tblPr>
      <w:tblGrid>
        <w:gridCol w:w="3862"/>
        <w:gridCol w:w="4439"/>
      </w:tblGrid>
      <w:tr w:rsidR="00AA1C47" w:rsidRPr="0068638F" w14:paraId="25C537A6" w14:textId="77777777" w:rsidTr="00E03240">
        <w:tc>
          <w:tcPr>
            <w:tcW w:w="3862" w:type="dxa"/>
            <w:hideMark/>
          </w:tcPr>
          <w:p w14:paraId="7085D7FF" w14:textId="77777777" w:rsidR="00AA1C47" w:rsidRPr="0068638F" w:rsidRDefault="00AA1C47" w:rsidP="00E03240">
            <w:pPr>
              <w:spacing w:after="160" w:line="278" w:lineRule="auto"/>
              <w:ind w:left="0" w:right="0" w:firstLine="0"/>
              <w:rPr>
                <w:rFonts w:ascii="Futura" w:eastAsia="Aptos" w:hAnsi="Futura" w:cs="Futura"/>
                <w:b/>
                <w:bCs/>
                <w:color w:val="auto"/>
                <w:sz w:val="24"/>
                <w:lang w:val="en-US"/>
              </w:rPr>
            </w:pPr>
            <w:r w:rsidRPr="0068638F">
              <w:rPr>
                <w:rFonts w:ascii="Futura" w:eastAsia="Aptos" w:hAnsi="Futura" w:cs="Futura"/>
                <w:b/>
                <w:bCs/>
                <w:color w:val="auto"/>
                <w:sz w:val="24"/>
                <w:lang w:val="en-US"/>
              </w:rPr>
              <w:t>Component of Cost of Energy</w:t>
            </w:r>
          </w:p>
        </w:tc>
        <w:tc>
          <w:tcPr>
            <w:tcW w:w="0" w:type="auto"/>
            <w:hideMark/>
          </w:tcPr>
          <w:p w14:paraId="59BC3EE2" w14:textId="77777777" w:rsidR="00AA1C47" w:rsidRPr="0068638F" w:rsidRDefault="00AA1C47" w:rsidP="00E03240">
            <w:pPr>
              <w:spacing w:after="160" w:line="278" w:lineRule="auto"/>
              <w:ind w:left="0" w:right="0" w:firstLine="0"/>
              <w:rPr>
                <w:rFonts w:ascii="Futura" w:eastAsia="Aptos" w:hAnsi="Futura" w:cs="Futura"/>
                <w:b/>
                <w:bCs/>
                <w:color w:val="auto"/>
                <w:sz w:val="24"/>
                <w:lang w:val="en-US"/>
              </w:rPr>
            </w:pPr>
            <w:r w:rsidRPr="0068638F">
              <w:rPr>
                <w:rFonts w:ascii="Futura" w:eastAsia="Aptos" w:hAnsi="Futura" w:cs="Futura"/>
                <w:b/>
                <w:bCs/>
                <w:color w:val="auto"/>
                <w:sz w:val="24"/>
                <w:lang w:val="en-US"/>
              </w:rPr>
              <w:t xml:space="preserve">Recognition in </w:t>
            </w:r>
            <w:proofErr w:type="spellStart"/>
            <w:r w:rsidRPr="0068638F">
              <w:rPr>
                <w:rFonts w:ascii="Futura" w:eastAsia="Aptos" w:hAnsi="Futura" w:cs="Futura"/>
                <w:b/>
                <w:bCs/>
                <w:color w:val="auto"/>
                <w:sz w:val="24"/>
                <w:lang w:val="en-US"/>
              </w:rPr>
              <w:t>CoE</w:t>
            </w:r>
            <w:proofErr w:type="spellEnd"/>
          </w:p>
        </w:tc>
      </w:tr>
      <w:tr w:rsidR="00AA1C47" w:rsidRPr="0068638F" w14:paraId="70046846" w14:textId="77777777" w:rsidTr="00E03240">
        <w:tc>
          <w:tcPr>
            <w:tcW w:w="3862" w:type="dxa"/>
            <w:hideMark/>
          </w:tcPr>
          <w:p w14:paraId="19F4A317"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Regulatory Interventions and Provisions (RI)</w:t>
            </w:r>
          </w:p>
        </w:tc>
        <w:tc>
          <w:tcPr>
            <w:tcW w:w="0" w:type="auto"/>
            <w:hideMark/>
          </w:tcPr>
          <w:p w14:paraId="59215D48"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As provided in the Applicable Tariff Order</w:t>
            </w:r>
          </w:p>
        </w:tc>
      </w:tr>
      <w:tr w:rsidR="00AA1C47" w:rsidRPr="0068638F" w14:paraId="75D2B7C0" w14:textId="77777777" w:rsidTr="00E03240">
        <w:tc>
          <w:tcPr>
            <w:tcW w:w="3862" w:type="dxa"/>
            <w:hideMark/>
          </w:tcPr>
          <w:p w14:paraId="74212C74"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Generation Cost (GC)</w:t>
            </w:r>
          </w:p>
        </w:tc>
        <w:tc>
          <w:tcPr>
            <w:tcW w:w="0" w:type="auto"/>
            <w:hideMark/>
          </w:tcPr>
          <w:p w14:paraId="37B3550D"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Multiplied by applicable DRO</w:t>
            </w:r>
          </w:p>
        </w:tc>
      </w:tr>
      <w:tr w:rsidR="00AA1C47" w:rsidRPr="0068638F" w14:paraId="49237ABB" w14:textId="77777777" w:rsidTr="00E03240">
        <w:tc>
          <w:tcPr>
            <w:tcW w:w="3862" w:type="dxa"/>
            <w:hideMark/>
          </w:tcPr>
          <w:p w14:paraId="2FE02D66"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Transmission and Administration Cost (TC)</w:t>
            </w:r>
          </w:p>
        </w:tc>
        <w:tc>
          <w:tcPr>
            <w:tcW w:w="0" w:type="auto"/>
            <w:hideMark/>
          </w:tcPr>
          <w:p w14:paraId="463A6437"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100%</w:t>
            </w:r>
          </w:p>
        </w:tc>
      </w:tr>
      <w:tr w:rsidR="00AA1C47" w:rsidRPr="0068638F" w14:paraId="3682BF0E" w14:textId="77777777" w:rsidTr="00E03240">
        <w:tc>
          <w:tcPr>
            <w:tcW w:w="3862" w:type="dxa"/>
            <w:hideMark/>
          </w:tcPr>
          <w:p w14:paraId="71282F39"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Distribution Licensee – ROI</w:t>
            </w:r>
          </w:p>
        </w:tc>
        <w:tc>
          <w:tcPr>
            <w:tcW w:w="0" w:type="auto"/>
            <w:hideMark/>
          </w:tcPr>
          <w:p w14:paraId="2DA88F00"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0%</w:t>
            </w:r>
          </w:p>
        </w:tc>
      </w:tr>
      <w:tr w:rsidR="00AA1C47" w:rsidRPr="0068638F" w14:paraId="211E8E7E" w14:textId="77777777" w:rsidTr="00E03240">
        <w:tc>
          <w:tcPr>
            <w:tcW w:w="3862" w:type="dxa"/>
            <w:hideMark/>
          </w:tcPr>
          <w:p w14:paraId="50E83D93"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Distribution Licensee – Depreciation</w:t>
            </w:r>
          </w:p>
        </w:tc>
        <w:tc>
          <w:tcPr>
            <w:tcW w:w="0" w:type="auto"/>
            <w:hideMark/>
          </w:tcPr>
          <w:p w14:paraId="788F00CC"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0%</w:t>
            </w:r>
          </w:p>
        </w:tc>
      </w:tr>
      <w:tr w:rsidR="00AA1C47" w:rsidRPr="0068638F" w14:paraId="0DD09CD3" w14:textId="77777777" w:rsidTr="00E03240">
        <w:tc>
          <w:tcPr>
            <w:tcW w:w="3862" w:type="dxa"/>
            <w:hideMark/>
          </w:tcPr>
          <w:p w14:paraId="2C4D3F55"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 xml:space="preserve">Distribution Licensee – </w:t>
            </w:r>
            <w:proofErr w:type="spellStart"/>
            <w:r w:rsidRPr="0068638F">
              <w:rPr>
                <w:rFonts w:ascii="Futura" w:eastAsia="Aptos" w:hAnsi="Futura" w:cs="Futura"/>
                <w:color w:val="auto"/>
                <w:sz w:val="24"/>
                <w:lang w:val="en-US"/>
              </w:rPr>
              <w:t>Opex</w:t>
            </w:r>
            <w:proofErr w:type="spellEnd"/>
            <w:r w:rsidRPr="0068638F">
              <w:rPr>
                <w:rFonts w:ascii="Futura" w:eastAsia="Aptos" w:hAnsi="Futura" w:cs="Futura"/>
                <w:color w:val="auto"/>
                <w:sz w:val="24"/>
                <w:lang w:val="en-US"/>
              </w:rPr>
              <w:t xml:space="preserve"> (OP)</w:t>
            </w:r>
          </w:p>
        </w:tc>
        <w:tc>
          <w:tcPr>
            <w:tcW w:w="0" w:type="auto"/>
            <w:hideMark/>
          </w:tcPr>
          <w:p w14:paraId="2A836544"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33%</w:t>
            </w:r>
          </w:p>
        </w:tc>
      </w:tr>
      <w:tr w:rsidR="00AA1C47" w:rsidRPr="0068638F" w14:paraId="7D1E0A2D" w14:textId="77777777" w:rsidTr="00E03240">
        <w:tc>
          <w:tcPr>
            <w:tcW w:w="3862" w:type="dxa"/>
            <w:hideMark/>
          </w:tcPr>
          <w:p w14:paraId="171D0A32"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Regulated Technical Loss Factor (RL)</w:t>
            </w:r>
          </w:p>
        </w:tc>
        <w:tc>
          <w:tcPr>
            <w:tcW w:w="0" w:type="auto"/>
            <w:hideMark/>
          </w:tcPr>
          <w:p w14:paraId="501CD4D7"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Applied as loss gross-up under paragraph 5.4</w:t>
            </w:r>
          </w:p>
        </w:tc>
      </w:tr>
    </w:tbl>
    <w:p w14:paraId="04796AE5" w14:textId="77777777" w:rsidR="00AA1C47" w:rsidRPr="0068638F" w:rsidRDefault="00AA1C47" w:rsidP="00AA1C47">
      <w:pPr>
        <w:spacing w:after="160" w:line="278" w:lineRule="auto"/>
        <w:ind w:left="0" w:right="0" w:firstLine="720"/>
        <w:rPr>
          <w:rFonts w:ascii="Futura" w:eastAsia="Aptos" w:hAnsi="Futura" w:cs="Futura"/>
          <w:b/>
          <w:bCs/>
          <w:color w:val="auto"/>
          <w:kern w:val="2"/>
          <w:sz w:val="24"/>
          <w:szCs w:val="24"/>
          <w:lang w:val="en-US"/>
          <w14:ligatures w14:val="standardContextual"/>
        </w:rPr>
      </w:pPr>
    </w:p>
    <w:p w14:paraId="4106811F" w14:textId="77777777" w:rsidR="00AA1C47" w:rsidRPr="0068638F" w:rsidRDefault="00AA1C47" w:rsidP="00AA1C47">
      <w:pPr>
        <w:spacing w:after="160" w:line="278" w:lineRule="auto"/>
        <w:ind w:left="0" w:right="0" w:firstLine="72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 xml:space="preserve">Table 4: Parameters for Determining </w:t>
      </w:r>
      <w:proofErr w:type="spellStart"/>
      <w:r w:rsidRPr="0068638F">
        <w:rPr>
          <w:rFonts w:ascii="Futura" w:eastAsia="Aptos" w:hAnsi="Futura" w:cs="Futura"/>
          <w:b/>
          <w:bCs/>
          <w:color w:val="auto"/>
          <w:kern w:val="2"/>
          <w:sz w:val="24"/>
          <w:szCs w:val="24"/>
          <w:lang w:val="en-US"/>
          <w14:ligatures w14:val="standardContextual"/>
        </w:rPr>
        <w:t>CoE</w:t>
      </w:r>
      <w:proofErr w:type="spellEnd"/>
    </w:p>
    <w:tbl>
      <w:tblPr>
        <w:tblStyle w:val="TableGrid3"/>
        <w:tblW w:w="0" w:type="auto"/>
        <w:tblInd w:w="625" w:type="dxa"/>
        <w:tblLook w:val="04A0" w:firstRow="1" w:lastRow="0" w:firstColumn="1" w:lastColumn="0" w:noHBand="0" w:noVBand="1"/>
      </w:tblPr>
      <w:tblGrid>
        <w:gridCol w:w="1577"/>
        <w:gridCol w:w="6814"/>
      </w:tblGrid>
      <w:tr w:rsidR="00AA1C47" w:rsidRPr="0068638F" w14:paraId="436545EF" w14:textId="77777777" w:rsidTr="00E03240">
        <w:tc>
          <w:tcPr>
            <w:tcW w:w="1227" w:type="dxa"/>
            <w:hideMark/>
          </w:tcPr>
          <w:p w14:paraId="3194695D" w14:textId="77777777" w:rsidR="00AA1C47" w:rsidRPr="0068638F" w:rsidRDefault="00AA1C47" w:rsidP="00E03240">
            <w:pPr>
              <w:spacing w:after="160" w:line="278" w:lineRule="auto"/>
              <w:ind w:left="0" w:right="0" w:firstLine="0"/>
              <w:rPr>
                <w:rFonts w:ascii="Futura" w:eastAsia="Aptos" w:hAnsi="Futura" w:cs="Futura"/>
                <w:b/>
                <w:bCs/>
                <w:color w:val="auto"/>
                <w:sz w:val="24"/>
                <w:lang w:val="en-US"/>
              </w:rPr>
            </w:pPr>
            <w:r w:rsidRPr="0068638F">
              <w:rPr>
                <w:rFonts w:ascii="Futura" w:eastAsia="Aptos" w:hAnsi="Futura" w:cs="Futura"/>
                <w:b/>
                <w:bCs/>
                <w:color w:val="auto"/>
                <w:sz w:val="24"/>
                <w:lang w:val="en-US"/>
              </w:rPr>
              <w:t>Parameter</w:t>
            </w:r>
          </w:p>
        </w:tc>
        <w:tc>
          <w:tcPr>
            <w:tcW w:w="0" w:type="auto"/>
            <w:hideMark/>
          </w:tcPr>
          <w:p w14:paraId="259AEC3A" w14:textId="77777777" w:rsidR="00AA1C47" w:rsidRPr="0068638F" w:rsidRDefault="00AA1C47" w:rsidP="00E03240">
            <w:pPr>
              <w:spacing w:after="160" w:line="278" w:lineRule="auto"/>
              <w:ind w:left="0" w:right="0" w:firstLine="0"/>
              <w:rPr>
                <w:rFonts w:ascii="Futura" w:eastAsia="Aptos" w:hAnsi="Futura" w:cs="Futura"/>
                <w:b/>
                <w:bCs/>
                <w:color w:val="auto"/>
                <w:sz w:val="24"/>
                <w:lang w:val="en-US"/>
              </w:rPr>
            </w:pPr>
            <w:r w:rsidRPr="0068638F">
              <w:rPr>
                <w:rFonts w:ascii="Futura" w:eastAsia="Aptos" w:hAnsi="Futura" w:cs="Futura"/>
                <w:b/>
                <w:bCs/>
                <w:color w:val="auto"/>
                <w:sz w:val="24"/>
                <w:lang w:val="en-US"/>
              </w:rPr>
              <w:t>Description</w:t>
            </w:r>
          </w:p>
        </w:tc>
      </w:tr>
      <w:tr w:rsidR="00AA1C47" w:rsidRPr="0068638F" w14:paraId="79B89383" w14:textId="77777777" w:rsidTr="00E03240">
        <w:tc>
          <w:tcPr>
            <w:tcW w:w="1227" w:type="dxa"/>
            <w:hideMark/>
          </w:tcPr>
          <w:p w14:paraId="1F38CC00"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Metered Energy</w:t>
            </w:r>
          </w:p>
        </w:tc>
        <w:tc>
          <w:tcPr>
            <w:tcW w:w="0" w:type="auto"/>
            <w:hideMark/>
          </w:tcPr>
          <w:p w14:paraId="60F6DE3C"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IMG monthly metered energy imported at the PCC</w:t>
            </w:r>
          </w:p>
        </w:tc>
      </w:tr>
      <w:tr w:rsidR="00AA1C47" w:rsidRPr="0068638F" w14:paraId="4D5942BB" w14:textId="77777777" w:rsidTr="00E03240">
        <w:tc>
          <w:tcPr>
            <w:tcW w:w="1227" w:type="dxa"/>
            <w:hideMark/>
          </w:tcPr>
          <w:p w14:paraId="39000220"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RI</w:t>
            </w:r>
          </w:p>
        </w:tc>
        <w:tc>
          <w:tcPr>
            <w:tcW w:w="0" w:type="auto"/>
            <w:hideMark/>
          </w:tcPr>
          <w:p w14:paraId="505E5114"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As provided in the Applicable Tariff Order</w:t>
            </w:r>
          </w:p>
        </w:tc>
      </w:tr>
      <w:tr w:rsidR="00AA1C47" w:rsidRPr="0068638F" w14:paraId="0F879902" w14:textId="77777777" w:rsidTr="00E03240">
        <w:tc>
          <w:tcPr>
            <w:tcW w:w="1227" w:type="dxa"/>
            <w:hideMark/>
          </w:tcPr>
          <w:p w14:paraId="7461F14C"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lastRenderedPageBreak/>
              <w:t>GC</w:t>
            </w:r>
          </w:p>
        </w:tc>
        <w:tc>
          <w:tcPr>
            <w:tcW w:w="0" w:type="auto"/>
            <w:hideMark/>
          </w:tcPr>
          <w:p w14:paraId="6C72E9FE"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As provided in the Applicable Tariff Order</w:t>
            </w:r>
          </w:p>
        </w:tc>
      </w:tr>
      <w:tr w:rsidR="00AA1C47" w:rsidRPr="0068638F" w14:paraId="7E2873D2" w14:textId="77777777" w:rsidTr="00E03240">
        <w:tc>
          <w:tcPr>
            <w:tcW w:w="1227" w:type="dxa"/>
            <w:hideMark/>
          </w:tcPr>
          <w:p w14:paraId="60058C36"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DRO</w:t>
            </w:r>
          </w:p>
        </w:tc>
        <w:tc>
          <w:tcPr>
            <w:tcW w:w="0" w:type="auto"/>
            <w:hideMark/>
          </w:tcPr>
          <w:p w14:paraId="4FE0CD15"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As provided in the Applicable Tariff Order</w:t>
            </w:r>
          </w:p>
        </w:tc>
      </w:tr>
      <w:tr w:rsidR="00AA1C47" w:rsidRPr="0068638F" w14:paraId="0981E973" w14:textId="77777777" w:rsidTr="00E03240">
        <w:tc>
          <w:tcPr>
            <w:tcW w:w="1227" w:type="dxa"/>
            <w:hideMark/>
          </w:tcPr>
          <w:p w14:paraId="70F02D48"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TC</w:t>
            </w:r>
          </w:p>
        </w:tc>
        <w:tc>
          <w:tcPr>
            <w:tcW w:w="0" w:type="auto"/>
            <w:hideMark/>
          </w:tcPr>
          <w:p w14:paraId="490615DF"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As provided in the Applicable Tariff Order</w:t>
            </w:r>
          </w:p>
        </w:tc>
      </w:tr>
      <w:tr w:rsidR="00AA1C47" w:rsidRPr="0068638F" w14:paraId="4A461297" w14:textId="77777777" w:rsidTr="00E03240">
        <w:tc>
          <w:tcPr>
            <w:tcW w:w="1227" w:type="dxa"/>
            <w:hideMark/>
          </w:tcPr>
          <w:p w14:paraId="57E5A7A9"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OP</w:t>
            </w:r>
          </w:p>
        </w:tc>
        <w:tc>
          <w:tcPr>
            <w:tcW w:w="0" w:type="auto"/>
            <w:hideMark/>
          </w:tcPr>
          <w:p w14:paraId="205DD1CB"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As provided in the Applicable Tariff Order</w:t>
            </w:r>
          </w:p>
        </w:tc>
      </w:tr>
      <w:tr w:rsidR="00AA1C47" w:rsidRPr="0068638F" w14:paraId="5A69A219" w14:textId="77777777" w:rsidTr="00E03240">
        <w:tc>
          <w:tcPr>
            <w:tcW w:w="1227" w:type="dxa"/>
            <w:hideMark/>
          </w:tcPr>
          <w:p w14:paraId="7D440D62"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RL</w:t>
            </w:r>
          </w:p>
        </w:tc>
        <w:tc>
          <w:tcPr>
            <w:tcW w:w="0" w:type="auto"/>
            <w:hideMark/>
          </w:tcPr>
          <w:p w14:paraId="36C26356"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Approved regulated technical loss factor for relevant network segment up to PCC</w:t>
            </w:r>
          </w:p>
        </w:tc>
      </w:tr>
    </w:tbl>
    <w:p w14:paraId="217C7A57"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p>
    <w:p w14:paraId="3F6E2C9A"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6.</w:t>
      </w:r>
      <w:r w:rsidRPr="0068638F">
        <w:rPr>
          <w:rFonts w:ascii="Futura" w:eastAsia="Aptos" w:hAnsi="Futura" w:cs="Futura"/>
          <w:b/>
          <w:bCs/>
          <w:color w:val="auto"/>
          <w:kern w:val="2"/>
          <w:sz w:val="24"/>
          <w:szCs w:val="24"/>
          <w:lang w:val="en-US"/>
          <w14:ligatures w14:val="standardContextual"/>
        </w:rPr>
        <w:tab/>
        <w:t>Bidirectional Energy Flows and Export Arrangements</w:t>
      </w:r>
    </w:p>
    <w:p w14:paraId="00B1F75A" w14:textId="77777777" w:rsidR="00AA1C47" w:rsidRPr="0068638F" w:rsidRDefault="00AA1C47" w:rsidP="00AA1C47">
      <w:pPr>
        <w:spacing w:after="160" w:line="278" w:lineRule="auto"/>
        <w:ind w:left="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6.1</w:t>
      </w:r>
      <w:r w:rsidRPr="0068638F">
        <w:rPr>
          <w:rFonts w:ascii="Futura" w:eastAsia="Aptos" w:hAnsi="Futura" w:cs="Futura"/>
          <w:color w:val="auto"/>
          <w:kern w:val="2"/>
          <w:sz w:val="24"/>
          <w:szCs w:val="24"/>
          <w:lang w:val="en-US"/>
          <w14:ligatures w14:val="standardContextual"/>
        </w:rPr>
        <w:tab/>
        <w:t>Bidirectional energy flow at the PCC shall be permitted only where;</w:t>
      </w:r>
    </w:p>
    <w:p w14:paraId="466ADE49" w14:textId="77777777" w:rsidR="00AA1C47" w:rsidRPr="0068638F" w:rsidRDefault="00AA1C47">
      <w:pPr>
        <w:numPr>
          <w:ilvl w:val="0"/>
          <w:numId w:val="14"/>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the relevant technical configuration, protection arrangement, and metering arrangement have been approved under the Mini Grid Regulations 2026, the Interconnection Agreement, and applicable codes; and</w:t>
      </w:r>
    </w:p>
    <w:p w14:paraId="0CDE5EE8"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49EB94B1" w14:textId="77777777" w:rsidR="00AA1C47" w:rsidRPr="0068638F" w:rsidRDefault="00AA1C47">
      <w:pPr>
        <w:numPr>
          <w:ilvl w:val="0"/>
          <w:numId w:val="14"/>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the commercial terms governing export have been filed with or approved by the Commission, as the Commission may require.</w:t>
      </w:r>
    </w:p>
    <w:p w14:paraId="6DB41CCB"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31C1976D"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6.2</w:t>
      </w:r>
      <w:r w:rsidRPr="0068638F">
        <w:rPr>
          <w:rFonts w:ascii="Futura" w:eastAsia="Aptos" w:hAnsi="Futura" w:cs="Futura"/>
          <w:color w:val="auto"/>
          <w:kern w:val="2"/>
          <w:sz w:val="24"/>
          <w:szCs w:val="24"/>
          <w:lang w:val="en-US"/>
          <w14:ligatures w14:val="standardContextual"/>
        </w:rPr>
        <w:tab/>
        <w:t>Where the parties elect to enable bidirectional energy flow, including the sale of electricity by the IMG Operator to the Distribution Licensee, the technical and commercial terms governing such transactions shall be set out in a Power Purchase Agreement or such other Commission-approved agreement as the Commission may require.</w:t>
      </w:r>
    </w:p>
    <w:p w14:paraId="6ADAF7DA" w14:textId="77777777" w:rsidR="00AA1C47" w:rsidRPr="0068638F" w:rsidRDefault="00AA1C47" w:rsidP="00AA1C47">
      <w:pPr>
        <w:spacing w:after="160" w:line="278" w:lineRule="auto"/>
        <w:ind w:left="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6.3</w:t>
      </w:r>
      <w:r w:rsidRPr="0068638F">
        <w:rPr>
          <w:rFonts w:ascii="Futura" w:eastAsia="Aptos" w:hAnsi="Futura" w:cs="Futura"/>
          <w:color w:val="auto"/>
          <w:kern w:val="2"/>
          <w:sz w:val="24"/>
          <w:szCs w:val="24"/>
          <w:lang w:val="en-US"/>
          <w14:ligatures w14:val="standardContextual"/>
        </w:rPr>
        <w:tab/>
        <w:t>An agreement under paragraph 6.2 shall provide for—</w:t>
      </w:r>
    </w:p>
    <w:p w14:paraId="6D635C6E" w14:textId="77777777" w:rsidR="00AA1C47" w:rsidRPr="0068638F" w:rsidRDefault="00AA1C47">
      <w:pPr>
        <w:numPr>
          <w:ilvl w:val="0"/>
          <w:numId w:val="15"/>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the pricing methodology;</w:t>
      </w:r>
    </w:p>
    <w:p w14:paraId="17DDDA14"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3503FD52" w14:textId="77777777" w:rsidR="00AA1C47" w:rsidRPr="0068638F" w:rsidRDefault="00AA1C47">
      <w:pPr>
        <w:numPr>
          <w:ilvl w:val="0"/>
          <w:numId w:val="15"/>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metering and settlement procedures;</w:t>
      </w:r>
    </w:p>
    <w:p w14:paraId="7519F446"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7FBD1830" w14:textId="77777777" w:rsidR="00AA1C47" w:rsidRPr="0068638F" w:rsidRDefault="00AA1C47">
      <w:pPr>
        <w:numPr>
          <w:ilvl w:val="0"/>
          <w:numId w:val="15"/>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billing and payment timelines;</w:t>
      </w:r>
    </w:p>
    <w:p w14:paraId="1455E5E5"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3E6150CB" w14:textId="77777777" w:rsidR="00AA1C47" w:rsidRPr="0068638F" w:rsidRDefault="00AA1C47">
      <w:pPr>
        <w:numPr>
          <w:ilvl w:val="0"/>
          <w:numId w:val="15"/>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curtailment arrangements and, where applicable, deemed energy provisions;</w:t>
      </w:r>
    </w:p>
    <w:p w14:paraId="366543FA"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65EDAB8E" w14:textId="77777777" w:rsidR="00AA1C47" w:rsidRPr="0068638F" w:rsidRDefault="00AA1C47">
      <w:pPr>
        <w:numPr>
          <w:ilvl w:val="0"/>
          <w:numId w:val="15"/>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outage coordination and dispatch restrictions, where applicable; and</w:t>
      </w:r>
    </w:p>
    <w:p w14:paraId="69DB4957"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1C9977E2" w14:textId="77777777" w:rsidR="00AA1C47" w:rsidRPr="0068638F" w:rsidRDefault="00AA1C47">
      <w:pPr>
        <w:numPr>
          <w:ilvl w:val="0"/>
          <w:numId w:val="15"/>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such other matters as the Commission may direct.</w:t>
      </w:r>
    </w:p>
    <w:p w14:paraId="4698D472"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701AEDDB"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6.4</w:t>
      </w:r>
      <w:r w:rsidRPr="0068638F">
        <w:rPr>
          <w:rFonts w:ascii="Futura" w:eastAsia="Aptos" w:hAnsi="Futura" w:cs="Futura"/>
          <w:color w:val="auto"/>
          <w:kern w:val="2"/>
          <w:sz w:val="24"/>
          <w:szCs w:val="24"/>
          <w:lang w:val="en-US"/>
          <w14:ligatures w14:val="standardContextual"/>
        </w:rPr>
        <w:tab/>
        <w:t>No contractual export arrangement shall take effect unless the relevant agreement has been filed with or approved by the Commission, as the Commission may require.</w:t>
      </w:r>
    </w:p>
    <w:p w14:paraId="5423DF98"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p>
    <w:p w14:paraId="7F45BFED"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7.</w:t>
      </w:r>
      <w:r w:rsidRPr="0068638F">
        <w:rPr>
          <w:rFonts w:ascii="Futura" w:eastAsia="Aptos" w:hAnsi="Futura" w:cs="Futura"/>
          <w:b/>
          <w:bCs/>
          <w:color w:val="auto"/>
          <w:kern w:val="2"/>
          <w:sz w:val="24"/>
          <w:szCs w:val="24"/>
          <w:lang w:val="en-US"/>
          <w14:ligatures w14:val="standardContextual"/>
        </w:rPr>
        <w:tab/>
        <w:t>Default Export Pricing and Settlement</w:t>
      </w:r>
    </w:p>
    <w:p w14:paraId="31E0F503" w14:textId="77777777" w:rsidR="00AA1C47" w:rsidRPr="0068638F" w:rsidRDefault="00AA1C47" w:rsidP="00AA1C47">
      <w:pPr>
        <w:spacing w:after="160" w:line="278" w:lineRule="auto"/>
        <w:ind w:left="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7.1</w:t>
      </w:r>
      <w:r w:rsidRPr="0068638F">
        <w:rPr>
          <w:rFonts w:ascii="Futura" w:eastAsia="Aptos" w:hAnsi="Futura" w:cs="Futura"/>
          <w:color w:val="auto"/>
          <w:kern w:val="2"/>
          <w:sz w:val="24"/>
          <w:szCs w:val="24"/>
          <w:lang w:val="en-US"/>
          <w14:ligatures w14:val="standardContextual"/>
        </w:rPr>
        <w:tab/>
        <w:t>This paragraph shall apply where;</w:t>
      </w:r>
    </w:p>
    <w:p w14:paraId="1E244F21" w14:textId="77777777" w:rsidR="00AA1C47" w:rsidRPr="0068638F" w:rsidRDefault="00AA1C47">
      <w:pPr>
        <w:numPr>
          <w:ilvl w:val="0"/>
          <w:numId w:val="16"/>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export capability at the PCC has been technically approved; and</w:t>
      </w:r>
    </w:p>
    <w:p w14:paraId="71FC7310"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7CD710FD" w14:textId="77777777" w:rsidR="00AA1C47" w:rsidRPr="0068638F" w:rsidRDefault="00AA1C47">
      <w:pPr>
        <w:numPr>
          <w:ilvl w:val="0"/>
          <w:numId w:val="16"/>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the parties have not concluded, within the time prescribed by the Mini Grid Regulations 2026 or directed by the Commission, a Commission-filed or Commission-approved export power purchase arrangement.</w:t>
      </w:r>
    </w:p>
    <w:p w14:paraId="61B3B491"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462305DA"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7.2</w:t>
      </w:r>
      <w:r w:rsidRPr="0068638F">
        <w:rPr>
          <w:rFonts w:ascii="Futura" w:eastAsia="Aptos" w:hAnsi="Futura" w:cs="Futura"/>
          <w:color w:val="auto"/>
          <w:kern w:val="2"/>
          <w:sz w:val="24"/>
          <w:szCs w:val="24"/>
          <w:lang w:val="en-US"/>
          <w14:ligatures w14:val="standardContextual"/>
        </w:rPr>
        <w:tab/>
        <w:t>Where paragraph 7.1 applies, electricity exported by the IMG Operator to the Distribution Licensee shall be settled at the Default Export Rate determined by the Commission based on avoided energy cost at the PCC or such other methodology, proxy value, reference rate, or pricing band as the Commission may approve from time to time.</w:t>
      </w:r>
    </w:p>
    <w:p w14:paraId="48A45A9B"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7.3</w:t>
      </w:r>
      <w:r w:rsidRPr="0068638F">
        <w:rPr>
          <w:rFonts w:ascii="Futura" w:eastAsia="Aptos" w:hAnsi="Futura" w:cs="Futura"/>
          <w:color w:val="auto"/>
          <w:kern w:val="2"/>
          <w:sz w:val="24"/>
          <w:szCs w:val="24"/>
          <w:lang w:val="en-US"/>
          <w14:ligatures w14:val="standardContextual"/>
        </w:rPr>
        <w:tab/>
        <w:t>Settlement under this paragraph shall be based on gross metered export energy at the PCC and shall continue to apply until;</w:t>
      </w:r>
    </w:p>
    <w:p w14:paraId="6434C10D" w14:textId="77777777" w:rsidR="00AA1C47" w:rsidRPr="0068638F" w:rsidRDefault="00AA1C47">
      <w:pPr>
        <w:numPr>
          <w:ilvl w:val="0"/>
          <w:numId w:val="17"/>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a Commission-filed or Commission-approved export power purchase arrangement takes effect; or</w:t>
      </w:r>
    </w:p>
    <w:p w14:paraId="56DEFA45"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43340E25" w14:textId="77777777" w:rsidR="00AA1C47" w:rsidRPr="0068638F" w:rsidRDefault="00AA1C47">
      <w:pPr>
        <w:numPr>
          <w:ilvl w:val="0"/>
          <w:numId w:val="17"/>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the Commission otherwise directs.</w:t>
      </w:r>
    </w:p>
    <w:p w14:paraId="3F0F7C8E"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502A28A1"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7.4</w:t>
      </w:r>
      <w:r w:rsidRPr="0068638F">
        <w:rPr>
          <w:rFonts w:ascii="Futura" w:eastAsia="Aptos" w:hAnsi="Futura" w:cs="Futura"/>
          <w:color w:val="auto"/>
          <w:kern w:val="2"/>
          <w:sz w:val="24"/>
          <w:szCs w:val="24"/>
          <w:lang w:val="en-US"/>
          <w14:ligatures w14:val="standardContextual"/>
        </w:rPr>
        <w:tab/>
        <w:t>Default export settlement under this paragraph shall be carried out in accordance with the Mini Grid Regulations 2026, the Metering Code, the Distribution Code, the Tripartite Agreement in Schedule 10, and any default settlement arrangement approved or directed by the Commission.</w:t>
      </w:r>
    </w:p>
    <w:p w14:paraId="7C65888B"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7.5</w:t>
      </w:r>
      <w:r w:rsidRPr="0068638F">
        <w:rPr>
          <w:rFonts w:ascii="Futura" w:eastAsia="Aptos" w:hAnsi="Futura" w:cs="Futura"/>
          <w:color w:val="auto"/>
          <w:kern w:val="2"/>
          <w:sz w:val="24"/>
          <w:szCs w:val="24"/>
          <w:lang w:val="en-US"/>
          <w14:ligatures w14:val="standardContextual"/>
        </w:rPr>
        <w:tab/>
        <w:t>Export payments or credits under this paragraph shall not be set off against the NAUF except where expressly approved by the Commission or provided in a Commission-filed or Commission-approved agreement.</w:t>
      </w:r>
    </w:p>
    <w:p w14:paraId="5E343774"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p>
    <w:p w14:paraId="144039D4"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p>
    <w:p w14:paraId="7EF747F0"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8.</w:t>
      </w:r>
      <w:r w:rsidRPr="0068638F">
        <w:rPr>
          <w:rFonts w:ascii="Futura" w:eastAsia="Aptos" w:hAnsi="Futura" w:cs="Futura"/>
          <w:b/>
          <w:bCs/>
          <w:color w:val="auto"/>
          <w:kern w:val="2"/>
          <w:sz w:val="24"/>
          <w:szCs w:val="24"/>
          <w:lang w:val="en-US"/>
          <w14:ligatures w14:val="standardContextual"/>
        </w:rPr>
        <w:tab/>
        <w:t>Treatment of Verified Outstanding Customer Debt</w:t>
      </w:r>
    </w:p>
    <w:p w14:paraId="6F8FBECA"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8.1</w:t>
      </w:r>
      <w:r w:rsidRPr="0068638F">
        <w:rPr>
          <w:rFonts w:ascii="Futura" w:eastAsia="Aptos" w:hAnsi="Futura" w:cs="Futura"/>
          <w:color w:val="auto"/>
          <w:kern w:val="2"/>
          <w:sz w:val="24"/>
          <w:szCs w:val="24"/>
          <w:lang w:val="en-US"/>
          <w14:ligatures w14:val="standardContextual"/>
        </w:rPr>
        <w:tab/>
        <w:t>Where verified outstanding customer debt exists in respect of customers within the designated IMG area prior to takeover of Distribution Licensee assets by the IMG Operator, the Distribution Licensee and the IMG Operator may enter into a Debt Recovery Agreement, subject to approval by the Commission.</w:t>
      </w:r>
    </w:p>
    <w:p w14:paraId="78974E48" w14:textId="77777777" w:rsidR="00AA1C47" w:rsidRPr="0068638F" w:rsidRDefault="00AA1C47" w:rsidP="00AA1C47">
      <w:pPr>
        <w:spacing w:after="160" w:line="278" w:lineRule="auto"/>
        <w:ind w:left="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8.2</w:t>
      </w:r>
      <w:r w:rsidRPr="0068638F">
        <w:rPr>
          <w:rFonts w:ascii="Futura" w:eastAsia="Aptos" w:hAnsi="Futura" w:cs="Futura"/>
          <w:color w:val="auto"/>
          <w:kern w:val="2"/>
          <w:sz w:val="24"/>
          <w:szCs w:val="24"/>
          <w:lang w:val="en-US"/>
          <w14:ligatures w14:val="standardContextual"/>
        </w:rPr>
        <w:tab/>
        <w:t>A Debt Recovery Agreement under paragraph 8.1 shall;</w:t>
      </w:r>
    </w:p>
    <w:p w14:paraId="5FA30695" w14:textId="77777777" w:rsidR="00AA1C47" w:rsidRPr="0068638F" w:rsidRDefault="00AA1C47">
      <w:pPr>
        <w:numPr>
          <w:ilvl w:val="0"/>
          <w:numId w:val="18"/>
        </w:numPr>
        <w:tabs>
          <w:tab w:val="left" w:pos="720"/>
        </w:tabs>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be supported by a verified debt schedule submitted by the Distribution Licensee to the IMG Operator and the Commission prior to takeover;</w:t>
      </w:r>
    </w:p>
    <w:p w14:paraId="0C4067A9" w14:textId="77777777" w:rsidR="00AA1C47" w:rsidRPr="0068638F" w:rsidRDefault="00AA1C47" w:rsidP="00AA1C47">
      <w:pPr>
        <w:tabs>
          <w:tab w:val="left" w:pos="720"/>
        </w:tabs>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1DD57698" w14:textId="77777777" w:rsidR="00AA1C47" w:rsidRPr="0068638F" w:rsidRDefault="00AA1C47">
      <w:pPr>
        <w:numPr>
          <w:ilvl w:val="0"/>
          <w:numId w:val="18"/>
        </w:numPr>
        <w:tabs>
          <w:tab w:val="left" w:pos="720"/>
        </w:tabs>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specify the proportion of customer vending receipts to be applied to debt recovery;</w:t>
      </w:r>
    </w:p>
    <w:p w14:paraId="2133618A" w14:textId="77777777" w:rsidR="00AA1C47" w:rsidRPr="0068638F" w:rsidRDefault="00AA1C47" w:rsidP="00AA1C47">
      <w:pPr>
        <w:tabs>
          <w:tab w:val="left" w:pos="720"/>
        </w:tabs>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4B31A713" w14:textId="77777777" w:rsidR="00AA1C47" w:rsidRPr="0068638F" w:rsidRDefault="00AA1C47">
      <w:pPr>
        <w:numPr>
          <w:ilvl w:val="0"/>
          <w:numId w:val="18"/>
        </w:numPr>
        <w:tabs>
          <w:tab w:val="left" w:pos="720"/>
        </w:tabs>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not permit recovery more than ten per cent (10%) of monthly vending revenue unless otherwise approved by the Commission; and</w:t>
      </w:r>
    </w:p>
    <w:p w14:paraId="4AE369BB" w14:textId="77777777" w:rsidR="00AA1C47" w:rsidRPr="0068638F" w:rsidRDefault="00AA1C47" w:rsidP="00AA1C47">
      <w:pPr>
        <w:tabs>
          <w:tab w:val="left" w:pos="720"/>
        </w:tabs>
        <w:spacing w:after="160" w:line="278" w:lineRule="auto"/>
        <w:ind w:left="0" w:right="0" w:firstLine="0"/>
        <w:contextualSpacing/>
        <w:rPr>
          <w:rFonts w:ascii="Futura" w:eastAsia="Aptos" w:hAnsi="Futura" w:cs="Futura"/>
          <w:color w:val="auto"/>
          <w:kern w:val="2"/>
          <w:sz w:val="24"/>
          <w:szCs w:val="24"/>
          <w:lang w:val="en-US"/>
          <w14:ligatures w14:val="standardContextual"/>
        </w:rPr>
      </w:pPr>
    </w:p>
    <w:p w14:paraId="115BFF02"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8.3</w:t>
      </w:r>
      <w:r w:rsidRPr="0068638F">
        <w:rPr>
          <w:rFonts w:ascii="Futura" w:eastAsia="Aptos" w:hAnsi="Futura" w:cs="Futura"/>
          <w:color w:val="auto"/>
          <w:kern w:val="2"/>
          <w:sz w:val="24"/>
          <w:szCs w:val="24"/>
          <w:lang w:val="en-US"/>
          <w14:ligatures w14:val="standardContextual"/>
        </w:rPr>
        <w:tab/>
        <w:t>Prior to takeover, affected customers shall be notified in writing of their outstanding obligations to the Distribution Licensee.</w:t>
      </w:r>
    </w:p>
    <w:p w14:paraId="11529B90"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8.4</w:t>
      </w:r>
      <w:r w:rsidRPr="0068638F">
        <w:rPr>
          <w:rFonts w:ascii="Futura" w:eastAsia="Aptos" w:hAnsi="Futura" w:cs="Futura"/>
          <w:color w:val="auto"/>
          <w:kern w:val="2"/>
          <w:sz w:val="24"/>
          <w:szCs w:val="24"/>
          <w:lang w:val="en-US"/>
          <w14:ligatures w14:val="standardContextual"/>
        </w:rPr>
        <w:tab/>
        <w:t>Prior to takeover, customer debt shall remain a debt owed to the Distribution Licensee, and the IMG Operator shall not bear liability for non-recovery of such debt beyond the express terms of the approved Debt Recovery Agreement.</w:t>
      </w:r>
    </w:p>
    <w:p w14:paraId="2926A0C1"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8.5</w:t>
      </w:r>
      <w:r w:rsidRPr="0068638F">
        <w:rPr>
          <w:rFonts w:ascii="Futura" w:eastAsia="Aptos" w:hAnsi="Futura" w:cs="Futura"/>
          <w:color w:val="auto"/>
          <w:kern w:val="2"/>
          <w:sz w:val="24"/>
          <w:szCs w:val="24"/>
          <w:lang w:val="en-US"/>
          <w14:ligatures w14:val="standardContextual"/>
        </w:rPr>
        <w:tab/>
        <w:t>Any dispute relating to verified outstanding customer debt or its recovery shall be resolved in accordance with the applicable consumer protection framework, the Mini Grid Regulations 2026, and any relevant direction of the Commission.</w:t>
      </w:r>
    </w:p>
    <w:p w14:paraId="49F1E3DB" w14:textId="77777777" w:rsidR="00AA1C47" w:rsidRPr="0068638F" w:rsidRDefault="00AA1C47" w:rsidP="00AA1C47">
      <w:pPr>
        <w:spacing w:after="160" w:line="278" w:lineRule="auto"/>
        <w:ind w:left="0" w:right="0" w:firstLine="0"/>
        <w:rPr>
          <w:rFonts w:ascii="Futura" w:eastAsia="Aptos" w:hAnsi="Futura" w:cs="Futura"/>
          <w:color w:val="auto"/>
          <w:kern w:val="2"/>
          <w:sz w:val="24"/>
          <w:szCs w:val="24"/>
          <w:lang w:val="en-US"/>
          <w14:ligatures w14:val="standardContextual"/>
        </w:rPr>
      </w:pPr>
    </w:p>
    <w:p w14:paraId="5FBF16EF"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9.</w:t>
      </w:r>
      <w:r w:rsidRPr="0068638F">
        <w:rPr>
          <w:rFonts w:ascii="Futura" w:eastAsia="Aptos" w:hAnsi="Futura" w:cs="Futura"/>
          <w:b/>
          <w:bCs/>
          <w:color w:val="auto"/>
          <w:kern w:val="2"/>
          <w:sz w:val="24"/>
          <w:szCs w:val="24"/>
          <w:lang w:val="en-US"/>
          <w14:ligatures w14:val="standardContextual"/>
        </w:rPr>
        <w:tab/>
        <w:t>Metering, Billing, Settlement, and Reconciliation</w:t>
      </w:r>
    </w:p>
    <w:p w14:paraId="40DFA883" w14:textId="77777777" w:rsidR="00AA1C47" w:rsidRPr="0068638F" w:rsidRDefault="00AA1C47" w:rsidP="00AA1C47">
      <w:pPr>
        <w:spacing w:after="160" w:line="278" w:lineRule="auto"/>
        <w:ind w:left="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9.1</w:t>
      </w:r>
      <w:r w:rsidRPr="0068638F">
        <w:rPr>
          <w:rFonts w:ascii="Futura" w:eastAsia="Aptos" w:hAnsi="Futura" w:cs="Futura"/>
          <w:color w:val="auto"/>
          <w:kern w:val="2"/>
          <w:sz w:val="24"/>
          <w:szCs w:val="24"/>
          <w:lang w:val="en-US"/>
          <w14:ligatures w14:val="standardContextual"/>
        </w:rPr>
        <w:tab/>
        <w:t>Settlement under this Schedule shall be based on energy measured at the PCC.</w:t>
      </w:r>
    </w:p>
    <w:p w14:paraId="5F5093B0"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lastRenderedPageBreak/>
        <w:t>9.2</w:t>
      </w:r>
      <w:r w:rsidRPr="0068638F">
        <w:rPr>
          <w:rFonts w:ascii="Futura" w:eastAsia="Aptos" w:hAnsi="Futura" w:cs="Futura"/>
          <w:color w:val="auto"/>
          <w:kern w:val="2"/>
          <w:sz w:val="24"/>
          <w:szCs w:val="24"/>
          <w:lang w:val="en-US"/>
          <w14:ligatures w14:val="standardContextual"/>
        </w:rPr>
        <w:tab/>
        <w:t>The PCC meter shall be installed, tested, sealed, read, maintained, and replaced in accordance with the Metering Code, the Interconnection Agreement, and such other standards as may be approved by the Commission.</w:t>
      </w:r>
    </w:p>
    <w:p w14:paraId="313EA892"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9.3</w:t>
      </w:r>
      <w:r w:rsidRPr="0068638F">
        <w:rPr>
          <w:rFonts w:ascii="Futura" w:eastAsia="Aptos" w:hAnsi="Futura" w:cs="Futura"/>
          <w:color w:val="auto"/>
          <w:kern w:val="2"/>
          <w:sz w:val="24"/>
          <w:szCs w:val="24"/>
          <w:lang w:val="en-US"/>
          <w14:ligatures w14:val="standardContextual"/>
        </w:rPr>
        <w:tab/>
        <w:t>The Distribution Licensee shall install the PCC meter unless otherwise approved by the Commission or provided in the applicable Interconnection Agreement.</w:t>
      </w:r>
    </w:p>
    <w:p w14:paraId="4BD5B684" w14:textId="77777777" w:rsidR="00AA1C47" w:rsidRPr="0068638F" w:rsidRDefault="00AA1C47" w:rsidP="00AA1C47">
      <w:pPr>
        <w:spacing w:after="160" w:line="278" w:lineRule="auto"/>
        <w:ind w:left="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9.4</w:t>
      </w:r>
      <w:r w:rsidRPr="0068638F">
        <w:rPr>
          <w:rFonts w:ascii="Futura" w:eastAsia="Aptos" w:hAnsi="Futura" w:cs="Futura"/>
          <w:color w:val="auto"/>
          <w:kern w:val="2"/>
          <w:sz w:val="24"/>
          <w:szCs w:val="24"/>
          <w:lang w:val="en-US"/>
          <w14:ligatures w14:val="standardContextual"/>
        </w:rPr>
        <w:tab/>
        <w:t>The IMG Operator may install a check meter at the PCC.</w:t>
      </w:r>
    </w:p>
    <w:p w14:paraId="60C7B8BF"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9.5</w:t>
      </w:r>
      <w:r w:rsidRPr="0068638F">
        <w:rPr>
          <w:rFonts w:ascii="Futura" w:eastAsia="Aptos" w:hAnsi="Futura" w:cs="Futura"/>
          <w:color w:val="auto"/>
          <w:kern w:val="2"/>
          <w:sz w:val="24"/>
          <w:szCs w:val="24"/>
          <w:lang w:val="en-US"/>
          <w14:ligatures w14:val="standardContextual"/>
        </w:rPr>
        <w:tab/>
        <w:t>All PCC meters shall be jointly sealed by the parties and may be jointly tested and calibrated in the presence of NEMSA where required by the Commission or applicable code.</w:t>
      </w:r>
    </w:p>
    <w:p w14:paraId="69076C93"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9.6</w:t>
      </w:r>
      <w:r w:rsidRPr="0068638F">
        <w:rPr>
          <w:rFonts w:ascii="Futura" w:eastAsia="Aptos" w:hAnsi="Futura" w:cs="Futura"/>
          <w:color w:val="auto"/>
          <w:kern w:val="2"/>
          <w:sz w:val="24"/>
          <w:szCs w:val="24"/>
          <w:lang w:val="en-US"/>
          <w14:ligatures w14:val="standardContextual"/>
        </w:rPr>
        <w:tab/>
        <w:t xml:space="preserve">The Distribution Licensee shall issue invoices to the IMG Operator for the applicable NAUF and </w:t>
      </w:r>
      <w:proofErr w:type="spellStart"/>
      <w:r w:rsidRPr="0068638F">
        <w:rPr>
          <w:rFonts w:ascii="Futura" w:eastAsia="Aptos" w:hAnsi="Futura" w:cs="Futura"/>
          <w:color w:val="auto"/>
          <w:kern w:val="2"/>
          <w:sz w:val="24"/>
          <w:szCs w:val="24"/>
          <w:lang w:val="en-US"/>
          <w14:ligatures w14:val="standardContextual"/>
        </w:rPr>
        <w:t>CoE</w:t>
      </w:r>
      <w:proofErr w:type="spellEnd"/>
      <w:r w:rsidRPr="0068638F">
        <w:rPr>
          <w:rFonts w:ascii="Futura" w:eastAsia="Aptos" w:hAnsi="Futura" w:cs="Futura"/>
          <w:color w:val="auto"/>
          <w:kern w:val="2"/>
          <w:sz w:val="24"/>
          <w:szCs w:val="24"/>
          <w:lang w:val="en-US"/>
          <w14:ligatures w14:val="standardContextual"/>
        </w:rPr>
        <w:t xml:space="preserve"> in accordance with the approved commercial arrangement, the Applicable Tariff Order, and the Tripartite Agreement in Schedule 10.</w:t>
      </w:r>
    </w:p>
    <w:p w14:paraId="5CDD2089"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9.7</w:t>
      </w:r>
      <w:r w:rsidRPr="0068638F">
        <w:rPr>
          <w:rFonts w:ascii="Futura" w:eastAsia="Aptos" w:hAnsi="Futura" w:cs="Futura"/>
          <w:color w:val="auto"/>
          <w:kern w:val="2"/>
          <w:sz w:val="24"/>
          <w:szCs w:val="24"/>
          <w:lang w:val="en-US"/>
          <w14:ligatures w14:val="standardContextual"/>
        </w:rPr>
        <w:tab/>
        <w:t>Settlement of all invoices shall be made through such designated account or other Commission-approved settlement arrangement as may be specified in the Tripartite Agreement, Interconnection Agreement, Account Administration Agreement, or such other approved instrument.</w:t>
      </w:r>
    </w:p>
    <w:p w14:paraId="2A361F82"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9.8</w:t>
      </w:r>
      <w:r w:rsidRPr="0068638F">
        <w:rPr>
          <w:rFonts w:ascii="Futura" w:eastAsia="Aptos" w:hAnsi="Futura" w:cs="Futura"/>
          <w:color w:val="auto"/>
          <w:kern w:val="2"/>
          <w:sz w:val="24"/>
          <w:szCs w:val="24"/>
          <w:lang w:val="en-US"/>
          <w14:ligatures w14:val="standardContextual"/>
        </w:rPr>
        <w:tab/>
        <w:t>Unless otherwise approved by the Commission, invoices issued under this Schedule shall;</w:t>
      </w:r>
    </w:p>
    <w:p w14:paraId="79637BBD" w14:textId="77777777" w:rsidR="00AA1C47" w:rsidRPr="0068638F" w:rsidRDefault="00AA1C47">
      <w:pPr>
        <w:numPr>
          <w:ilvl w:val="0"/>
          <w:numId w:val="19"/>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relate to a monthly billing period;</w:t>
      </w:r>
    </w:p>
    <w:p w14:paraId="788F06BB"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2202248E" w14:textId="77777777" w:rsidR="00AA1C47" w:rsidRPr="0068638F" w:rsidRDefault="00AA1C47">
      <w:pPr>
        <w:numPr>
          <w:ilvl w:val="0"/>
          <w:numId w:val="19"/>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be issued not later than five (5) Business Days after the end of the relevant billing month; and</w:t>
      </w:r>
    </w:p>
    <w:p w14:paraId="47410F5C"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25F729F8" w14:textId="77777777" w:rsidR="00AA1C47" w:rsidRPr="0068638F" w:rsidRDefault="00AA1C47">
      <w:pPr>
        <w:numPr>
          <w:ilvl w:val="0"/>
          <w:numId w:val="19"/>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be payable within ten (10) Business Days of receipt.</w:t>
      </w:r>
    </w:p>
    <w:p w14:paraId="1611D800"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9.9</w:t>
      </w:r>
      <w:r w:rsidRPr="0068638F">
        <w:rPr>
          <w:rFonts w:ascii="Futura" w:eastAsia="Aptos" w:hAnsi="Futura" w:cs="Futura"/>
          <w:color w:val="auto"/>
          <w:kern w:val="2"/>
          <w:sz w:val="24"/>
          <w:szCs w:val="24"/>
          <w:lang w:val="en-US"/>
          <w14:ligatures w14:val="standardContextual"/>
        </w:rPr>
        <w:tab/>
        <w:t>A party disputing an invoice shall notify the issuing party in writing not later than five (5) Business Days after receipt of the invoice, stating the disputed amount and the basis of the dispute.</w:t>
      </w:r>
    </w:p>
    <w:p w14:paraId="459847B9"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9.10</w:t>
      </w:r>
      <w:r w:rsidRPr="0068638F">
        <w:rPr>
          <w:rFonts w:ascii="Futura" w:eastAsia="Aptos" w:hAnsi="Futura" w:cs="Futura"/>
          <w:color w:val="auto"/>
          <w:kern w:val="2"/>
          <w:sz w:val="24"/>
          <w:szCs w:val="24"/>
          <w:lang w:val="en-US"/>
          <w14:ligatures w14:val="standardContextual"/>
        </w:rPr>
        <w:tab/>
        <w:t>The existence of an invoice dispute shall not relieve the receiving party of the obligation to pay the undisputed portion of the invoice by the due date.</w:t>
      </w:r>
    </w:p>
    <w:p w14:paraId="7E04683C"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9.11</w:t>
      </w:r>
      <w:r w:rsidRPr="0068638F">
        <w:rPr>
          <w:rFonts w:ascii="Futura" w:eastAsia="Aptos" w:hAnsi="Futura" w:cs="Futura"/>
          <w:color w:val="auto"/>
          <w:kern w:val="2"/>
          <w:sz w:val="24"/>
          <w:szCs w:val="24"/>
          <w:lang w:val="en-US"/>
          <w14:ligatures w14:val="standardContextual"/>
        </w:rPr>
        <w:tab/>
        <w:t xml:space="preserve">Where an invoice or part thereof remains unpaid after the due date, default interest shall accrue at the rate specified in the applicable Tripartite </w:t>
      </w:r>
      <w:r w:rsidRPr="0068638F">
        <w:rPr>
          <w:rFonts w:ascii="Futura" w:eastAsia="Aptos" w:hAnsi="Futura" w:cs="Futura"/>
          <w:color w:val="auto"/>
          <w:kern w:val="2"/>
          <w:sz w:val="24"/>
          <w:szCs w:val="24"/>
          <w:lang w:val="en-US"/>
          <w14:ligatures w14:val="standardContextual"/>
        </w:rPr>
        <w:lastRenderedPageBreak/>
        <w:t>Agreement or, where no rate is specified, at such rate as the Commission may approve or direct.</w:t>
      </w:r>
    </w:p>
    <w:p w14:paraId="0A1FB272"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9.12</w:t>
      </w:r>
      <w:r w:rsidRPr="0068638F">
        <w:rPr>
          <w:rFonts w:ascii="Futura" w:eastAsia="Aptos" w:hAnsi="Futura" w:cs="Futura"/>
          <w:color w:val="auto"/>
          <w:kern w:val="2"/>
          <w:sz w:val="24"/>
          <w:szCs w:val="24"/>
          <w:lang w:val="en-US"/>
          <w14:ligatures w14:val="standardContextual"/>
        </w:rPr>
        <w:tab/>
        <w:t>In the event of meter failure, meter data loss, or other verifiable metering anomaly, provisional settlement shall be carried out using—</w:t>
      </w:r>
    </w:p>
    <w:p w14:paraId="7D0D8193" w14:textId="77777777" w:rsidR="00AA1C47" w:rsidRPr="0068638F" w:rsidRDefault="00AA1C47">
      <w:pPr>
        <w:numPr>
          <w:ilvl w:val="0"/>
          <w:numId w:val="20"/>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the average of the preceding three (3) months of validated PCC meter data, adjusted where necessary for load factor and seasonality; or</w:t>
      </w:r>
    </w:p>
    <w:p w14:paraId="0A30CD28"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0D3B289D" w14:textId="77777777" w:rsidR="00AA1C47" w:rsidRPr="0068638F" w:rsidRDefault="00AA1C47">
      <w:pPr>
        <w:numPr>
          <w:ilvl w:val="0"/>
          <w:numId w:val="20"/>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where such data is unavailable, such a feeder-based proxy estimate or other methodology as may be agreed by the parties and approved by the Commission.</w:t>
      </w:r>
    </w:p>
    <w:p w14:paraId="3191C18A"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9.13</w:t>
      </w:r>
      <w:r w:rsidRPr="0068638F">
        <w:rPr>
          <w:rFonts w:ascii="Futura" w:eastAsia="Aptos" w:hAnsi="Futura" w:cs="Futura"/>
          <w:color w:val="auto"/>
          <w:kern w:val="2"/>
          <w:sz w:val="24"/>
          <w:szCs w:val="24"/>
          <w:lang w:val="en-US"/>
          <w14:ligatures w14:val="standardContextual"/>
        </w:rPr>
        <w:tab/>
        <w:t>Estimated customer-level metering or downstream aggregated measurements shall not be used for settlement at the PCC except with the prior approval of the Commission.</w:t>
      </w:r>
    </w:p>
    <w:p w14:paraId="3FBA8EF1"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9.14</w:t>
      </w:r>
      <w:r w:rsidRPr="0068638F">
        <w:rPr>
          <w:rFonts w:ascii="Futura" w:eastAsia="Aptos" w:hAnsi="Futura" w:cs="Futura"/>
          <w:color w:val="auto"/>
          <w:kern w:val="2"/>
          <w:sz w:val="24"/>
          <w:szCs w:val="24"/>
          <w:lang w:val="en-US"/>
          <w14:ligatures w14:val="standardContextual"/>
        </w:rPr>
        <w:tab/>
        <w:t>Where corrected meter data or revised settlement inputs become available, the parties shall reconcile the affected billing period in the next practicable billing cycle or within such period as the Commission may direct.</w:t>
      </w:r>
    </w:p>
    <w:p w14:paraId="730A9C26"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9.15</w:t>
      </w:r>
      <w:r w:rsidRPr="0068638F">
        <w:rPr>
          <w:rFonts w:ascii="Futura" w:eastAsia="Aptos" w:hAnsi="Futura" w:cs="Futura"/>
          <w:color w:val="auto"/>
          <w:kern w:val="2"/>
          <w:sz w:val="24"/>
          <w:szCs w:val="24"/>
          <w:lang w:val="en-US"/>
          <w14:ligatures w14:val="standardContextual"/>
        </w:rPr>
        <w:tab/>
        <w:t>The parties shall maintain auditable records of all metering, billing, estimation, reconciliation, and settlement activity under this Schedule.</w:t>
      </w:r>
    </w:p>
    <w:p w14:paraId="79154D85" w14:textId="77777777" w:rsidR="00AA1C47" w:rsidRPr="0068638F" w:rsidRDefault="00AA1C47" w:rsidP="00AA1C47">
      <w:pPr>
        <w:spacing w:after="160" w:line="278" w:lineRule="auto"/>
        <w:ind w:left="0" w:right="0" w:firstLine="0"/>
        <w:rPr>
          <w:rFonts w:ascii="Futura" w:eastAsia="Aptos" w:hAnsi="Futura" w:cs="Futura"/>
          <w:color w:val="auto"/>
          <w:kern w:val="2"/>
          <w:sz w:val="24"/>
          <w:szCs w:val="24"/>
          <w:lang w:val="en-US"/>
          <w14:ligatures w14:val="standardContextual"/>
        </w:rPr>
      </w:pPr>
    </w:p>
    <w:p w14:paraId="414BE0ED"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10. Review and Approval of Project-Specific Departures</w:t>
      </w:r>
    </w:p>
    <w:p w14:paraId="1700B672"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10.1</w:t>
      </w:r>
      <w:r w:rsidRPr="0068638F">
        <w:rPr>
          <w:rFonts w:ascii="Futura" w:eastAsia="Aptos" w:hAnsi="Futura" w:cs="Futura"/>
          <w:color w:val="auto"/>
          <w:kern w:val="2"/>
          <w:sz w:val="24"/>
          <w:szCs w:val="24"/>
          <w:lang w:val="en-US"/>
          <w14:ligatures w14:val="standardContextual"/>
        </w:rPr>
        <w:tab/>
        <w:t xml:space="preserve">The Commission may review and approve project-specific departures from this Schedule </w:t>
      </w:r>
      <w:proofErr w:type="gramStart"/>
      <w:r w:rsidRPr="0068638F">
        <w:rPr>
          <w:rFonts w:ascii="Futura" w:eastAsia="Aptos" w:hAnsi="Futura" w:cs="Futura"/>
          <w:color w:val="auto"/>
          <w:kern w:val="2"/>
          <w:sz w:val="24"/>
          <w:szCs w:val="24"/>
          <w:lang w:val="en-US"/>
          <w14:ligatures w14:val="standardContextual"/>
        </w:rPr>
        <w:t>where</w:t>
      </w:r>
      <w:proofErr w:type="gramEnd"/>
      <w:r w:rsidRPr="0068638F">
        <w:rPr>
          <w:rFonts w:ascii="Futura" w:eastAsia="Aptos" w:hAnsi="Futura" w:cs="Futura"/>
          <w:color w:val="auto"/>
          <w:kern w:val="2"/>
          <w:sz w:val="24"/>
          <w:szCs w:val="24"/>
          <w:lang w:val="en-US"/>
          <w14:ligatures w14:val="standardContextual"/>
        </w:rPr>
        <w:t xml:space="preserve"> justified by special project conditions, public interest considerations, network configuration, customer protection requirements, or other exceptional circumstances.</w:t>
      </w:r>
    </w:p>
    <w:p w14:paraId="1163FECC"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10.2</w:t>
      </w:r>
      <w:r w:rsidRPr="0068638F">
        <w:rPr>
          <w:rFonts w:ascii="Futura" w:eastAsia="Aptos" w:hAnsi="Futura" w:cs="Futura"/>
          <w:color w:val="auto"/>
          <w:kern w:val="2"/>
          <w:sz w:val="24"/>
          <w:szCs w:val="24"/>
          <w:lang w:val="en-US"/>
          <w14:ligatures w14:val="standardContextual"/>
        </w:rPr>
        <w:tab/>
        <w:t>In considering any departure from this Schedule, the Commission shall have regard to—</w:t>
      </w:r>
    </w:p>
    <w:p w14:paraId="4432813F" w14:textId="77777777" w:rsidR="00AA1C47" w:rsidRPr="0068638F" w:rsidRDefault="00AA1C47">
      <w:pPr>
        <w:numPr>
          <w:ilvl w:val="0"/>
          <w:numId w:val="21"/>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cost reflectivity;</w:t>
      </w:r>
    </w:p>
    <w:p w14:paraId="60951D02"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5386CEBC" w14:textId="77777777" w:rsidR="00AA1C47" w:rsidRPr="0068638F" w:rsidRDefault="00AA1C47">
      <w:pPr>
        <w:numPr>
          <w:ilvl w:val="0"/>
          <w:numId w:val="21"/>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investor bankability;</w:t>
      </w:r>
    </w:p>
    <w:p w14:paraId="75B5E98C"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5ECD853C" w14:textId="77777777" w:rsidR="00AA1C47" w:rsidRPr="0068638F" w:rsidRDefault="00AA1C47">
      <w:pPr>
        <w:numPr>
          <w:ilvl w:val="0"/>
          <w:numId w:val="21"/>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the financial and operational interests of the Distribution Licensee;</w:t>
      </w:r>
    </w:p>
    <w:p w14:paraId="0D7D45DD"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19EDD474" w14:textId="77777777" w:rsidR="00AA1C47" w:rsidRPr="0068638F" w:rsidRDefault="00AA1C47">
      <w:pPr>
        <w:numPr>
          <w:ilvl w:val="0"/>
          <w:numId w:val="21"/>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affordability to end-use customers; and</w:t>
      </w:r>
    </w:p>
    <w:p w14:paraId="53FC1D36"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09F98DDE" w14:textId="77777777" w:rsidR="00AA1C47" w:rsidRPr="0068638F" w:rsidRDefault="00AA1C47">
      <w:pPr>
        <w:numPr>
          <w:ilvl w:val="0"/>
          <w:numId w:val="21"/>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lastRenderedPageBreak/>
        <w:t>the safe, reliable, and efficient operation of the network.</w:t>
      </w:r>
    </w:p>
    <w:p w14:paraId="45C42AAE"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11A6356C"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305C2C67"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5B203FC9"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11. Dispute Resolution</w:t>
      </w:r>
    </w:p>
    <w:p w14:paraId="7F3BF016"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11.1</w:t>
      </w:r>
      <w:r w:rsidRPr="0068638F">
        <w:rPr>
          <w:rFonts w:ascii="Futura" w:eastAsia="Aptos" w:hAnsi="Futura" w:cs="Futura"/>
          <w:color w:val="auto"/>
          <w:kern w:val="2"/>
          <w:sz w:val="24"/>
          <w:szCs w:val="24"/>
          <w:lang w:val="en-US"/>
          <w14:ligatures w14:val="standardContextual"/>
        </w:rPr>
        <w:tab/>
        <w:t>Any dispute arising from the application of this Schedule shall be resolved in accordance with the Mini Grid Regulations 2026, the Tripartite Agreement in Schedule 10, the Interconnection Agreement, and any other applicable regulatory instrument of the Commission.</w:t>
      </w:r>
    </w:p>
    <w:p w14:paraId="397675AD"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11.2</w:t>
      </w:r>
      <w:r w:rsidRPr="0068638F">
        <w:rPr>
          <w:rFonts w:ascii="Futura" w:eastAsia="Aptos" w:hAnsi="Futura" w:cs="Futura"/>
          <w:color w:val="auto"/>
          <w:kern w:val="2"/>
          <w:sz w:val="24"/>
          <w:szCs w:val="24"/>
          <w:lang w:val="en-US"/>
          <w14:ligatures w14:val="standardContextual"/>
        </w:rPr>
        <w:tab/>
        <w:t>Pending final resolution of a dispute under this paragraph, the parties shall continue to perform their undisputed obligations.</w:t>
      </w:r>
    </w:p>
    <w:p w14:paraId="108D4717" w14:textId="77777777" w:rsidR="00AA1C47" w:rsidRPr="0068638F" w:rsidRDefault="00AA1C47" w:rsidP="00AA1C47">
      <w:pPr>
        <w:spacing w:after="160" w:line="278" w:lineRule="auto"/>
        <w:ind w:left="0" w:right="0" w:firstLine="0"/>
        <w:rPr>
          <w:rFonts w:ascii="Futura" w:eastAsia="Aptos" w:hAnsi="Futura" w:cs="Futura"/>
          <w:color w:val="auto"/>
          <w:kern w:val="2"/>
          <w:sz w:val="24"/>
          <w:szCs w:val="24"/>
          <w:lang w:val="en-US"/>
          <w14:ligatures w14:val="standardContextual"/>
        </w:rPr>
      </w:pPr>
    </w:p>
    <w:p w14:paraId="16ECFDA6" w14:textId="77777777" w:rsidR="00AA1C47" w:rsidRDefault="00AA1C47" w:rsidP="00AA1C47"/>
    <w:p w14:paraId="2DFCD756" w14:textId="77777777" w:rsidR="0001685B" w:rsidRDefault="0001685B"/>
    <w:sectPr w:rsidR="0001685B" w:rsidSect="00AA1C47">
      <w:pgSz w:w="11906" w:h="16838" w:code="9"/>
      <w:pgMar w:top="1440" w:right="1440" w:bottom="144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utura Bk">
    <w:altName w:val="Century Gothic"/>
    <w:panose1 w:val="020B0602020204020303"/>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utura">
    <w:panose1 w:val="020B0602020204020303"/>
    <w:charset w:val="00"/>
    <w:family w:val="swiss"/>
    <w:pitch w:val="variable"/>
    <w:sig w:usb0="A00028E7" w:usb1="00000000" w:usb2="00000000" w:usb3="00000000" w:csb0="000001FB"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5F8F43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C27EA"/>
    <w:multiLevelType w:val="hybridMultilevel"/>
    <w:tmpl w:val="FA5406E8"/>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980B26"/>
    <w:multiLevelType w:val="hybridMultilevel"/>
    <w:tmpl w:val="D46830B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04140"/>
    <w:multiLevelType w:val="hybridMultilevel"/>
    <w:tmpl w:val="F0CC7A2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C531DF"/>
    <w:multiLevelType w:val="hybridMultilevel"/>
    <w:tmpl w:val="FE5835B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79379A"/>
    <w:multiLevelType w:val="hybridMultilevel"/>
    <w:tmpl w:val="91DE553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CB4768"/>
    <w:multiLevelType w:val="hybridMultilevel"/>
    <w:tmpl w:val="238E645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C3AF7"/>
    <w:multiLevelType w:val="hybridMultilevel"/>
    <w:tmpl w:val="8C228C8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1234EB"/>
    <w:multiLevelType w:val="hybridMultilevel"/>
    <w:tmpl w:val="9BA6997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691E67"/>
    <w:multiLevelType w:val="hybridMultilevel"/>
    <w:tmpl w:val="3328101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EF2487"/>
    <w:multiLevelType w:val="hybridMultilevel"/>
    <w:tmpl w:val="2D2ECA1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7B4D61"/>
    <w:multiLevelType w:val="hybridMultilevel"/>
    <w:tmpl w:val="73B69AF2"/>
    <w:styleLink w:val="Style11"/>
    <w:lvl w:ilvl="0" w:tplc="04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C3A3BF5"/>
    <w:multiLevelType w:val="hybridMultilevel"/>
    <w:tmpl w:val="D662FEA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6A53B8"/>
    <w:multiLevelType w:val="hybridMultilevel"/>
    <w:tmpl w:val="FDD6999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F33044"/>
    <w:multiLevelType w:val="hybridMultilevel"/>
    <w:tmpl w:val="CDD88E62"/>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CE12F1"/>
    <w:multiLevelType w:val="multilevel"/>
    <w:tmpl w:val="C676469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E15435D"/>
    <w:multiLevelType w:val="hybridMultilevel"/>
    <w:tmpl w:val="27D09BF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D927CA"/>
    <w:multiLevelType w:val="hybridMultilevel"/>
    <w:tmpl w:val="2FC8579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E51B10"/>
    <w:multiLevelType w:val="multilevel"/>
    <w:tmpl w:val="7D5EF226"/>
    <w:styleLink w:val="Styl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E5B7186"/>
    <w:multiLevelType w:val="hybridMultilevel"/>
    <w:tmpl w:val="C57240A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7C3986"/>
    <w:multiLevelType w:val="multilevel"/>
    <w:tmpl w:val="2B20C9FE"/>
    <w:styleLink w:val="CurrentList1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46383471">
    <w:abstractNumId w:val="15"/>
  </w:num>
  <w:num w:numId="2" w16cid:durableId="2128576058">
    <w:abstractNumId w:val="18"/>
  </w:num>
  <w:num w:numId="3" w16cid:durableId="704062419">
    <w:abstractNumId w:val="20"/>
  </w:num>
  <w:num w:numId="4" w16cid:durableId="1014456865">
    <w:abstractNumId w:val="11"/>
  </w:num>
  <w:num w:numId="5" w16cid:durableId="876233623">
    <w:abstractNumId w:val="0"/>
  </w:num>
  <w:num w:numId="6" w16cid:durableId="399865797">
    <w:abstractNumId w:val="7"/>
  </w:num>
  <w:num w:numId="7" w16cid:durableId="570774154">
    <w:abstractNumId w:val="13"/>
  </w:num>
  <w:num w:numId="8" w16cid:durableId="716005306">
    <w:abstractNumId w:val="12"/>
  </w:num>
  <w:num w:numId="9" w16cid:durableId="217328830">
    <w:abstractNumId w:val="10"/>
  </w:num>
  <w:num w:numId="10" w16cid:durableId="600142631">
    <w:abstractNumId w:val="19"/>
  </w:num>
  <w:num w:numId="11" w16cid:durableId="1580944329">
    <w:abstractNumId w:val="6"/>
  </w:num>
  <w:num w:numId="12" w16cid:durableId="1112936004">
    <w:abstractNumId w:val="1"/>
  </w:num>
  <w:num w:numId="13" w16cid:durableId="1102529787">
    <w:abstractNumId w:val="3"/>
  </w:num>
  <w:num w:numId="14" w16cid:durableId="1468084729">
    <w:abstractNumId w:val="16"/>
  </w:num>
  <w:num w:numId="15" w16cid:durableId="901797614">
    <w:abstractNumId w:val="9"/>
  </w:num>
  <w:num w:numId="16" w16cid:durableId="1712683169">
    <w:abstractNumId w:val="2"/>
  </w:num>
  <w:num w:numId="17" w16cid:durableId="1390609370">
    <w:abstractNumId w:val="17"/>
  </w:num>
  <w:num w:numId="18" w16cid:durableId="1605336592">
    <w:abstractNumId w:val="4"/>
  </w:num>
  <w:num w:numId="19" w16cid:durableId="1864434851">
    <w:abstractNumId w:val="8"/>
  </w:num>
  <w:num w:numId="20" w16cid:durableId="1984507044">
    <w:abstractNumId w:val="14"/>
  </w:num>
  <w:num w:numId="21" w16cid:durableId="347609856">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C47"/>
    <w:rsid w:val="0001685B"/>
    <w:rsid w:val="003D4905"/>
    <w:rsid w:val="00565A6D"/>
    <w:rsid w:val="006217BB"/>
    <w:rsid w:val="00621AC9"/>
    <w:rsid w:val="00892607"/>
    <w:rsid w:val="00972827"/>
    <w:rsid w:val="00AA1C47"/>
    <w:rsid w:val="00BD3E30"/>
    <w:rsid w:val="00DB45DA"/>
    <w:rsid w:val="00E67D8F"/>
    <w:rsid w:val="00F423F6"/>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FF78E"/>
  <w15:chartTrackingRefBased/>
  <w15:docId w15:val="{1F21BDC6-7830-456D-A8D6-7EB79570E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utura Bk" w:eastAsiaTheme="minorHAnsi" w:hAnsi="Futura Bk" w:cstheme="minorBidi"/>
        <w:kern w:val="2"/>
        <w:sz w:val="24"/>
        <w:szCs w:val="24"/>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C47"/>
    <w:pPr>
      <w:spacing w:after="317" w:line="248" w:lineRule="auto"/>
      <w:ind w:left="10" w:right="91" w:hanging="10"/>
      <w:jc w:val="both"/>
    </w:pPr>
    <w:rPr>
      <w:rFonts w:ascii="Calibri" w:eastAsia="Calibri" w:hAnsi="Calibri" w:cs="Calibri"/>
      <w:color w:val="000000"/>
      <w:kern w:val="0"/>
      <w:sz w:val="25"/>
      <w:szCs w:val="22"/>
      <w:lang w:val="en-GB"/>
      <w14:ligatures w14:val="none"/>
    </w:rPr>
  </w:style>
  <w:style w:type="paragraph" w:styleId="Heading1">
    <w:name w:val="heading 1"/>
    <w:basedOn w:val="Normal"/>
    <w:next w:val="Normal"/>
    <w:link w:val="Heading1Char"/>
    <w:uiPriority w:val="9"/>
    <w:qFormat/>
    <w:rsid w:val="00AA1C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A1C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A1C4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A1C4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unhideWhenUsed/>
    <w:qFormat/>
    <w:rsid w:val="00AA1C4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unhideWhenUsed/>
    <w:qFormat/>
    <w:rsid w:val="00AA1C4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A1C4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A1C4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A1C4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1C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A1C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A1C4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rsid w:val="00AA1C4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rsid w:val="00AA1C4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rsid w:val="00AA1C4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A1C4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A1C4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A1C4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A1C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1C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1C47"/>
    <w:pPr>
      <w:numPr>
        <w:ilvl w:val="1"/>
      </w:numPr>
      <w:ind w:left="10" w:hanging="1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1C4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A1C47"/>
    <w:pPr>
      <w:spacing w:before="160"/>
      <w:jc w:val="center"/>
    </w:pPr>
    <w:rPr>
      <w:i/>
      <w:iCs/>
      <w:color w:val="404040" w:themeColor="text1" w:themeTint="BF"/>
    </w:rPr>
  </w:style>
  <w:style w:type="character" w:customStyle="1" w:styleId="QuoteChar">
    <w:name w:val="Quote Char"/>
    <w:basedOn w:val="DefaultParagraphFont"/>
    <w:link w:val="Quote"/>
    <w:uiPriority w:val="29"/>
    <w:rsid w:val="00AA1C47"/>
    <w:rPr>
      <w:i/>
      <w:iCs/>
      <w:color w:val="404040" w:themeColor="text1" w:themeTint="BF"/>
    </w:rPr>
  </w:style>
  <w:style w:type="paragraph" w:styleId="ListParagraph">
    <w:name w:val="List Paragraph"/>
    <w:basedOn w:val="Normal"/>
    <w:link w:val="ListParagraphChar"/>
    <w:uiPriority w:val="34"/>
    <w:qFormat/>
    <w:rsid w:val="00AA1C47"/>
    <w:pPr>
      <w:ind w:left="720"/>
      <w:contextualSpacing/>
    </w:pPr>
  </w:style>
  <w:style w:type="character" w:styleId="IntenseEmphasis">
    <w:name w:val="Intense Emphasis"/>
    <w:basedOn w:val="DefaultParagraphFont"/>
    <w:uiPriority w:val="21"/>
    <w:qFormat/>
    <w:rsid w:val="00AA1C47"/>
    <w:rPr>
      <w:i/>
      <w:iCs/>
      <w:color w:val="2F5496" w:themeColor="accent1" w:themeShade="BF"/>
    </w:rPr>
  </w:style>
  <w:style w:type="paragraph" w:styleId="IntenseQuote">
    <w:name w:val="Intense Quote"/>
    <w:basedOn w:val="Normal"/>
    <w:next w:val="Normal"/>
    <w:link w:val="IntenseQuoteChar"/>
    <w:uiPriority w:val="30"/>
    <w:qFormat/>
    <w:rsid w:val="00AA1C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A1C47"/>
    <w:rPr>
      <w:i/>
      <w:iCs/>
      <w:color w:val="2F5496" w:themeColor="accent1" w:themeShade="BF"/>
    </w:rPr>
  </w:style>
  <w:style w:type="character" w:styleId="IntenseReference">
    <w:name w:val="Intense Reference"/>
    <w:basedOn w:val="DefaultParagraphFont"/>
    <w:uiPriority w:val="32"/>
    <w:qFormat/>
    <w:rsid w:val="00AA1C47"/>
    <w:rPr>
      <w:b/>
      <w:bCs/>
      <w:smallCaps/>
      <w:color w:val="2F5496" w:themeColor="accent1" w:themeShade="BF"/>
      <w:spacing w:val="5"/>
    </w:rPr>
  </w:style>
  <w:style w:type="paragraph" w:customStyle="1" w:styleId="footnotedescription">
    <w:name w:val="footnote description"/>
    <w:next w:val="Normal"/>
    <w:link w:val="footnotedescriptionChar"/>
    <w:hidden/>
    <w:rsid w:val="00AA1C47"/>
    <w:pPr>
      <w:spacing w:after="7"/>
    </w:pPr>
    <w:rPr>
      <w:rFonts w:ascii="Calibri" w:eastAsia="Calibri" w:hAnsi="Calibri" w:cs="Calibri"/>
      <w:color w:val="000000"/>
      <w:kern w:val="0"/>
      <w:sz w:val="20"/>
      <w:szCs w:val="22"/>
      <w:lang w:val="en-US"/>
      <w14:ligatures w14:val="none"/>
    </w:rPr>
  </w:style>
  <w:style w:type="character" w:customStyle="1" w:styleId="footnotedescriptionChar">
    <w:name w:val="footnote description Char"/>
    <w:link w:val="footnotedescription"/>
    <w:rsid w:val="00AA1C47"/>
    <w:rPr>
      <w:rFonts w:ascii="Calibri" w:eastAsia="Calibri" w:hAnsi="Calibri" w:cs="Calibri"/>
      <w:color w:val="000000"/>
      <w:kern w:val="0"/>
      <w:sz w:val="20"/>
      <w:szCs w:val="22"/>
      <w:lang w:val="en-US"/>
      <w14:ligatures w14:val="none"/>
    </w:rPr>
  </w:style>
  <w:style w:type="character" w:customStyle="1" w:styleId="footnotemark">
    <w:name w:val="footnote mark"/>
    <w:hidden/>
    <w:rsid w:val="00AA1C47"/>
    <w:rPr>
      <w:rFonts w:ascii="Times New Roman" w:eastAsia="Times New Roman" w:hAnsi="Times New Roman" w:cs="Times New Roman"/>
      <w:color w:val="000000"/>
      <w:sz w:val="20"/>
      <w:vertAlign w:val="superscript"/>
    </w:rPr>
  </w:style>
  <w:style w:type="table" w:customStyle="1" w:styleId="TableGrid1">
    <w:name w:val="Table Grid1"/>
    <w:rsid w:val="00AA1C47"/>
    <w:pPr>
      <w:spacing w:after="0" w:line="240" w:lineRule="auto"/>
    </w:pPr>
    <w:rPr>
      <w:rFonts w:asciiTheme="minorHAnsi" w:eastAsiaTheme="minorEastAsia" w:hAnsiTheme="minorHAnsi"/>
      <w:kern w:val="0"/>
      <w:sz w:val="22"/>
      <w:szCs w:val="22"/>
      <w:lang w:val="en-US"/>
      <w14:ligatures w14:val="none"/>
    </w:rPr>
    <w:tblPr>
      <w:tblCellMar>
        <w:top w:w="0" w:type="dxa"/>
        <w:left w:w="0" w:type="dxa"/>
        <w:bottom w:w="0" w:type="dxa"/>
        <w:right w:w="0" w:type="dxa"/>
      </w:tblCellMar>
    </w:tblPr>
  </w:style>
  <w:style w:type="paragraph" w:styleId="Revision">
    <w:name w:val="Revision"/>
    <w:hidden/>
    <w:uiPriority w:val="99"/>
    <w:semiHidden/>
    <w:rsid w:val="00AA1C47"/>
    <w:pPr>
      <w:spacing w:after="0" w:line="240" w:lineRule="auto"/>
    </w:pPr>
    <w:rPr>
      <w:rFonts w:ascii="Calibri" w:eastAsia="Calibri" w:hAnsi="Calibri" w:cs="Calibri"/>
      <w:color w:val="000000"/>
      <w:kern w:val="0"/>
      <w:sz w:val="25"/>
      <w:szCs w:val="22"/>
      <w:lang w:val="en-US"/>
      <w14:ligatures w14:val="none"/>
    </w:rPr>
  </w:style>
  <w:style w:type="character" w:styleId="CommentReference">
    <w:name w:val="annotation reference"/>
    <w:basedOn w:val="DefaultParagraphFont"/>
    <w:uiPriority w:val="99"/>
    <w:semiHidden/>
    <w:unhideWhenUsed/>
    <w:rsid w:val="00AA1C47"/>
    <w:rPr>
      <w:sz w:val="16"/>
      <w:szCs w:val="16"/>
    </w:rPr>
  </w:style>
  <w:style w:type="paragraph" w:styleId="CommentText">
    <w:name w:val="annotation text"/>
    <w:basedOn w:val="Normal"/>
    <w:link w:val="CommentTextChar"/>
    <w:uiPriority w:val="99"/>
    <w:unhideWhenUsed/>
    <w:rsid w:val="00AA1C47"/>
    <w:pPr>
      <w:widowControl w:val="0"/>
      <w:autoSpaceDE w:val="0"/>
      <w:autoSpaceDN w:val="0"/>
      <w:spacing w:after="0" w:line="240" w:lineRule="auto"/>
      <w:ind w:left="0" w:right="0" w:firstLine="0"/>
      <w:jc w:val="left"/>
    </w:pPr>
    <w:rPr>
      <w:color w:val="auto"/>
      <w:sz w:val="20"/>
      <w:szCs w:val="20"/>
    </w:rPr>
  </w:style>
  <w:style w:type="character" w:customStyle="1" w:styleId="CommentTextChar">
    <w:name w:val="Comment Text Char"/>
    <w:basedOn w:val="DefaultParagraphFont"/>
    <w:link w:val="CommentText"/>
    <w:uiPriority w:val="99"/>
    <w:rsid w:val="00AA1C47"/>
    <w:rPr>
      <w:rFonts w:ascii="Calibri" w:eastAsia="Calibri" w:hAnsi="Calibri" w:cs="Calibri"/>
      <w:kern w:val="0"/>
      <w:sz w:val="20"/>
      <w:szCs w:val="20"/>
      <w:lang w:val="en-GB"/>
      <w14:ligatures w14:val="none"/>
    </w:rPr>
  </w:style>
  <w:style w:type="paragraph" w:styleId="BodyText">
    <w:name w:val="Body Text"/>
    <w:basedOn w:val="Normal"/>
    <w:link w:val="BodyTextChar"/>
    <w:uiPriority w:val="1"/>
    <w:qFormat/>
    <w:rsid w:val="00AA1C47"/>
    <w:pPr>
      <w:widowControl w:val="0"/>
      <w:autoSpaceDE w:val="0"/>
      <w:autoSpaceDN w:val="0"/>
      <w:spacing w:after="0" w:line="240" w:lineRule="auto"/>
      <w:ind w:left="0" w:right="0" w:firstLine="0"/>
      <w:jc w:val="left"/>
    </w:pPr>
    <w:rPr>
      <w:color w:val="auto"/>
      <w:szCs w:val="25"/>
    </w:rPr>
  </w:style>
  <w:style w:type="character" w:customStyle="1" w:styleId="BodyTextChar">
    <w:name w:val="Body Text Char"/>
    <w:basedOn w:val="DefaultParagraphFont"/>
    <w:link w:val="BodyText"/>
    <w:uiPriority w:val="1"/>
    <w:rsid w:val="00AA1C47"/>
    <w:rPr>
      <w:rFonts w:ascii="Calibri" w:eastAsia="Calibri" w:hAnsi="Calibri" w:cs="Calibri"/>
      <w:kern w:val="0"/>
      <w:sz w:val="25"/>
      <w:szCs w:val="25"/>
      <w:lang w:val="en-GB"/>
      <w14:ligatures w14:val="none"/>
    </w:rPr>
  </w:style>
  <w:style w:type="paragraph" w:styleId="CommentSubject">
    <w:name w:val="annotation subject"/>
    <w:basedOn w:val="CommentText"/>
    <w:next w:val="CommentText"/>
    <w:link w:val="CommentSubjectChar"/>
    <w:uiPriority w:val="99"/>
    <w:semiHidden/>
    <w:unhideWhenUsed/>
    <w:rsid w:val="00AA1C47"/>
    <w:pPr>
      <w:widowControl/>
      <w:autoSpaceDE/>
      <w:autoSpaceDN/>
      <w:spacing w:after="317"/>
      <w:ind w:left="10" w:right="91" w:hanging="10"/>
      <w:jc w:val="both"/>
    </w:pPr>
    <w:rPr>
      <w:b/>
      <w:bCs/>
      <w:color w:val="000000"/>
    </w:rPr>
  </w:style>
  <w:style w:type="character" w:customStyle="1" w:styleId="CommentSubjectChar">
    <w:name w:val="Comment Subject Char"/>
    <w:basedOn w:val="CommentTextChar"/>
    <w:link w:val="CommentSubject"/>
    <w:uiPriority w:val="99"/>
    <w:semiHidden/>
    <w:rsid w:val="00AA1C47"/>
    <w:rPr>
      <w:rFonts w:ascii="Calibri" w:eastAsia="Calibri" w:hAnsi="Calibri" w:cs="Calibri"/>
      <w:b/>
      <w:bCs/>
      <w:color w:val="000000"/>
      <w:kern w:val="0"/>
      <w:sz w:val="20"/>
      <w:szCs w:val="20"/>
      <w:lang w:val="en-GB"/>
      <w14:ligatures w14:val="none"/>
    </w:rPr>
  </w:style>
  <w:style w:type="table" w:styleId="TableGrid">
    <w:name w:val="Table Grid"/>
    <w:basedOn w:val="TableNormal"/>
    <w:uiPriority w:val="59"/>
    <w:rsid w:val="00AA1C47"/>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A1C47"/>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lang w:eastAsia="en-GB"/>
    </w:rPr>
  </w:style>
  <w:style w:type="character" w:customStyle="1" w:styleId="FooterChar">
    <w:name w:val="Footer Char"/>
    <w:basedOn w:val="DefaultParagraphFont"/>
    <w:link w:val="Footer"/>
    <w:uiPriority w:val="99"/>
    <w:rsid w:val="00AA1C47"/>
    <w:rPr>
      <w:rFonts w:asciiTheme="minorHAnsi" w:eastAsiaTheme="minorEastAsia" w:hAnsiTheme="minorHAnsi" w:cs="Times New Roman"/>
      <w:kern w:val="0"/>
      <w:sz w:val="22"/>
      <w:szCs w:val="22"/>
      <w:lang w:val="en-GB" w:eastAsia="en-GB"/>
      <w14:ligatures w14:val="none"/>
    </w:rPr>
  </w:style>
  <w:style w:type="paragraph" w:styleId="Header">
    <w:name w:val="header"/>
    <w:basedOn w:val="Normal"/>
    <w:link w:val="HeaderChar"/>
    <w:uiPriority w:val="99"/>
    <w:unhideWhenUsed/>
    <w:rsid w:val="00AA1C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1C47"/>
    <w:rPr>
      <w:rFonts w:ascii="Calibri" w:eastAsia="Calibri" w:hAnsi="Calibri" w:cs="Calibri"/>
      <w:color w:val="000000"/>
      <w:kern w:val="0"/>
      <w:sz w:val="25"/>
      <w:szCs w:val="22"/>
      <w:lang w:val="en-GB"/>
      <w14:ligatures w14:val="none"/>
    </w:rPr>
  </w:style>
  <w:style w:type="character" w:customStyle="1" w:styleId="Mention1">
    <w:name w:val="Mention1"/>
    <w:basedOn w:val="DefaultParagraphFont"/>
    <w:uiPriority w:val="99"/>
    <w:unhideWhenUsed/>
    <w:rsid w:val="00AA1C47"/>
    <w:rPr>
      <w:color w:val="2B579A"/>
      <w:shd w:val="clear" w:color="auto" w:fill="E1DFDD"/>
    </w:rPr>
  </w:style>
  <w:style w:type="character" w:customStyle="1" w:styleId="UnresolvedMention1">
    <w:name w:val="Unresolved Mention1"/>
    <w:basedOn w:val="DefaultParagraphFont"/>
    <w:uiPriority w:val="99"/>
    <w:unhideWhenUsed/>
    <w:rsid w:val="00AA1C47"/>
    <w:rPr>
      <w:color w:val="605E5C"/>
      <w:shd w:val="clear" w:color="auto" w:fill="E1DFDD"/>
    </w:rPr>
  </w:style>
  <w:style w:type="character" w:styleId="Hyperlink">
    <w:name w:val="Hyperlink"/>
    <w:basedOn w:val="DefaultParagraphFont"/>
    <w:uiPriority w:val="99"/>
    <w:unhideWhenUsed/>
    <w:rsid w:val="00AA1C47"/>
    <w:rPr>
      <w:color w:val="0563C1" w:themeColor="hyperlink"/>
      <w:u w:val="single"/>
    </w:rPr>
  </w:style>
  <w:style w:type="character" w:customStyle="1" w:styleId="ListParagraphChar">
    <w:name w:val="List Paragraph Char"/>
    <w:link w:val="ListParagraph"/>
    <w:uiPriority w:val="34"/>
    <w:rsid w:val="00AA1C47"/>
  </w:style>
  <w:style w:type="paragraph" w:styleId="NoSpacing">
    <w:name w:val="No Spacing"/>
    <w:uiPriority w:val="1"/>
    <w:qFormat/>
    <w:rsid w:val="00AA1C47"/>
    <w:pPr>
      <w:spacing w:after="0" w:line="240" w:lineRule="auto"/>
      <w:ind w:left="10" w:right="91" w:hanging="10"/>
      <w:jc w:val="both"/>
    </w:pPr>
    <w:rPr>
      <w:rFonts w:ascii="Calibri" w:eastAsia="Calibri" w:hAnsi="Calibri" w:cs="Calibri"/>
      <w:color w:val="000000"/>
      <w:kern w:val="0"/>
      <w:sz w:val="25"/>
      <w:szCs w:val="22"/>
      <w:lang w:val="en-US"/>
      <w14:ligatures w14:val="none"/>
    </w:rPr>
  </w:style>
  <w:style w:type="paragraph" w:styleId="BalloonText">
    <w:name w:val="Balloon Text"/>
    <w:basedOn w:val="Normal"/>
    <w:link w:val="BalloonTextChar"/>
    <w:uiPriority w:val="99"/>
    <w:semiHidden/>
    <w:unhideWhenUsed/>
    <w:rsid w:val="00AA1C47"/>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A1C47"/>
    <w:rPr>
      <w:rFonts w:ascii="Times New Roman" w:eastAsia="Calibri" w:hAnsi="Times New Roman" w:cs="Times New Roman"/>
      <w:color w:val="000000"/>
      <w:kern w:val="0"/>
      <w:sz w:val="18"/>
      <w:szCs w:val="18"/>
      <w:lang w:val="en-GB"/>
      <w14:ligatures w14:val="none"/>
    </w:rPr>
  </w:style>
  <w:style w:type="numbering" w:customStyle="1" w:styleId="CurrentList1">
    <w:name w:val="Current List1"/>
    <w:uiPriority w:val="99"/>
    <w:rsid w:val="00AA1C47"/>
    <w:pPr>
      <w:numPr>
        <w:numId w:val="1"/>
      </w:numPr>
    </w:pPr>
  </w:style>
  <w:style w:type="numbering" w:customStyle="1" w:styleId="Style1">
    <w:name w:val="Style1"/>
    <w:uiPriority w:val="99"/>
    <w:rsid w:val="00AA1C47"/>
    <w:pPr>
      <w:numPr>
        <w:numId w:val="2"/>
      </w:numPr>
    </w:pPr>
  </w:style>
  <w:style w:type="numbering" w:customStyle="1" w:styleId="CurrentList11">
    <w:name w:val="Current List11"/>
    <w:uiPriority w:val="99"/>
    <w:rsid w:val="00AA1C47"/>
  </w:style>
  <w:style w:type="character" w:styleId="PageNumber">
    <w:name w:val="page number"/>
    <w:basedOn w:val="DefaultParagraphFont"/>
    <w:uiPriority w:val="99"/>
    <w:semiHidden/>
    <w:unhideWhenUsed/>
    <w:rsid w:val="00AA1C47"/>
  </w:style>
  <w:style w:type="numbering" w:customStyle="1" w:styleId="CurrentList12">
    <w:name w:val="Current List12"/>
    <w:uiPriority w:val="99"/>
    <w:rsid w:val="00AA1C47"/>
    <w:pPr>
      <w:numPr>
        <w:numId w:val="3"/>
      </w:numPr>
    </w:pPr>
  </w:style>
  <w:style w:type="numbering" w:customStyle="1" w:styleId="Style11">
    <w:name w:val="Style11"/>
    <w:uiPriority w:val="99"/>
    <w:rsid w:val="00AA1C47"/>
    <w:pPr>
      <w:numPr>
        <w:numId w:val="4"/>
      </w:numPr>
    </w:pPr>
  </w:style>
  <w:style w:type="table" w:customStyle="1" w:styleId="TableGrid2">
    <w:name w:val="Table Grid2"/>
    <w:basedOn w:val="TableNormal"/>
    <w:next w:val="TableGrid"/>
    <w:uiPriority w:val="39"/>
    <w:rsid w:val="00AA1C47"/>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A1C47"/>
    <w:pPr>
      <w:spacing w:after="0" w:line="240" w:lineRule="auto"/>
      <w:ind w:left="0" w:right="0" w:firstLine="0"/>
      <w:jc w:val="left"/>
    </w:pPr>
    <w:rPr>
      <w:rFonts w:ascii="Futura Bk" w:eastAsiaTheme="minorHAnsi" w:hAnsi="Futura Bk" w:cstheme="minorBidi"/>
      <w:color w:val="auto"/>
      <w:kern w:val="2"/>
      <w:sz w:val="20"/>
      <w:szCs w:val="20"/>
      <w14:ligatures w14:val="standardContextual"/>
    </w:rPr>
  </w:style>
  <w:style w:type="character" w:customStyle="1" w:styleId="FootnoteTextChar">
    <w:name w:val="Footnote Text Char"/>
    <w:basedOn w:val="DefaultParagraphFont"/>
    <w:link w:val="FootnoteText"/>
    <w:uiPriority w:val="99"/>
    <w:semiHidden/>
    <w:rsid w:val="00AA1C47"/>
    <w:rPr>
      <w:sz w:val="20"/>
      <w:szCs w:val="20"/>
      <w:lang w:val="en-GB"/>
    </w:rPr>
  </w:style>
  <w:style w:type="character" w:styleId="FootnoteReference">
    <w:name w:val="footnote reference"/>
    <w:basedOn w:val="DefaultParagraphFont"/>
    <w:uiPriority w:val="99"/>
    <w:semiHidden/>
    <w:unhideWhenUsed/>
    <w:rsid w:val="00AA1C47"/>
    <w:rPr>
      <w:vertAlign w:val="superscript"/>
    </w:rPr>
  </w:style>
  <w:style w:type="table" w:styleId="GridTable4-Accent5">
    <w:name w:val="Grid Table 4 Accent 5"/>
    <w:basedOn w:val="TableNormal"/>
    <w:uiPriority w:val="49"/>
    <w:rsid w:val="00AA1C47"/>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ListBullet">
    <w:name w:val="List Bullet"/>
    <w:basedOn w:val="Normal"/>
    <w:uiPriority w:val="99"/>
    <w:unhideWhenUsed/>
    <w:rsid w:val="00AA1C47"/>
    <w:pPr>
      <w:numPr>
        <w:numId w:val="5"/>
      </w:numPr>
      <w:tabs>
        <w:tab w:val="clear" w:pos="360"/>
      </w:tabs>
      <w:spacing w:after="200" w:line="276" w:lineRule="auto"/>
      <w:ind w:left="0" w:right="0" w:firstLine="0"/>
      <w:contextualSpacing/>
      <w:jc w:val="left"/>
    </w:pPr>
    <w:rPr>
      <w:rFonts w:ascii="Arial" w:eastAsiaTheme="minorEastAsia" w:hAnsi="Arial" w:cstheme="minorBidi"/>
      <w:color w:val="auto"/>
      <w:sz w:val="21"/>
      <w:lang w:val="en-US"/>
    </w:rPr>
  </w:style>
  <w:style w:type="table" w:customStyle="1" w:styleId="TableGrid3">
    <w:name w:val="Table Grid3"/>
    <w:basedOn w:val="TableNormal"/>
    <w:next w:val="TableGrid"/>
    <w:uiPriority w:val="39"/>
    <w:rsid w:val="00AA1C47"/>
    <w:pPr>
      <w:spacing w:after="0" w:line="240" w:lineRule="auto"/>
    </w:pPr>
    <w:rPr>
      <w:rFonts w:asciiTheme="minorHAnsi" w:eastAsia="Aptos"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next w:val="PlainTable5"/>
    <w:uiPriority w:val="99"/>
    <w:rsid w:val="00AA1C47"/>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Calibri" w:eastAsia="MS Gothic" w:hAnsi="Calibri" w:cs="Times New Roman"/>
        <w:i/>
        <w:iCs/>
        <w:sz w:val="26"/>
      </w:rPr>
      <w:tblPr/>
      <w:tcPr>
        <w:tcBorders>
          <w:bottom w:val="single" w:sz="4" w:space="0" w:color="7F7F7F"/>
        </w:tcBorders>
        <w:shd w:val="clear" w:color="auto" w:fill="FFFFFF"/>
      </w:tcPr>
    </w:tblStylePr>
    <w:tblStylePr w:type="lastRow">
      <w:rPr>
        <w:rFonts w:ascii="Calibri" w:eastAsia="MS Gothic" w:hAnsi="Calibri" w:cs="Times New Roman"/>
        <w:i/>
        <w:iCs/>
        <w:sz w:val="26"/>
      </w:rPr>
      <w:tblPr/>
      <w:tcPr>
        <w:tcBorders>
          <w:top w:val="single" w:sz="4" w:space="0" w:color="7F7F7F"/>
        </w:tcBorders>
        <w:shd w:val="clear" w:color="auto" w:fill="FFFFFF"/>
      </w:tcPr>
    </w:tblStylePr>
    <w:tblStylePr w:type="firstCol">
      <w:pPr>
        <w:jc w:val="right"/>
      </w:pPr>
      <w:rPr>
        <w:rFonts w:ascii="Calibri" w:eastAsia="MS Gothic" w:hAnsi="Calibri" w:cs="Times New Roman"/>
        <w:i/>
        <w:iCs/>
        <w:sz w:val="26"/>
      </w:rPr>
      <w:tblPr/>
      <w:tcPr>
        <w:tcBorders>
          <w:right w:val="single" w:sz="4" w:space="0" w:color="7F7F7F"/>
        </w:tcBorders>
        <w:shd w:val="clear" w:color="auto" w:fill="FFFFFF"/>
      </w:tcPr>
    </w:tblStylePr>
    <w:tblStylePr w:type="lastCol">
      <w:rPr>
        <w:rFonts w:ascii="Calibri" w:eastAsia="MS Gothic" w:hAnsi="Calibr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AA1C47"/>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rsid w:val="00AA1C4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3131</Words>
  <Characters>17665</Characters>
  <Application>Microsoft Office Word</Application>
  <DocSecurity>0</DocSecurity>
  <Lines>477</Lines>
  <Paragraphs>233</Paragraphs>
  <ScaleCrop>false</ScaleCrop>
  <Company/>
  <LinksUpToDate>false</LinksUpToDate>
  <CharactersWithSpaces>20563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Adamu Ibrahim</dc:creator>
  <cp:keywords/>
  <dc:description/>
  <cp:lastModifiedBy>Malik Kabir</cp:lastModifiedBy>
  <cp:revision>2</cp:revision>
  <dcterms:created xsi:type="dcterms:W3CDTF">2026-06-02T14:28:00Z</dcterms:created>
  <dcterms:modified xsi:type="dcterms:W3CDTF">2026-06-02T14:28:00Z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260c85a5-bf7d-4ec7-9298-6bb936668a4f</vt:lpwstr>
  </property>
</Properties>
</file>